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Layout w:type="fixed"/>
        <w:tblCellMar>
          <w:left w:w="57" w:type="dxa"/>
          <w:right w:w="57" w:type="dxa"/>
        </w:tblCellMar>
        <w:tblLook w:val="01E0" w:firstRow="1" w:lastRow="1" w:firstColumn="1" w:lastColumn="1" w:noHBand="0" w:noVBand="0"/>
      </w:tblPr>
      <w:tblGrid>
        <w:gridCol w:w="7088"/>
        <w:gridCol w:w="3119"/>
      </w:tblGrid>
      <w:tr w:rsidR="00D652A3" w:rsidRPr="007B3E6C" w:rsidTr="00D652A3">
        <w:trPr>
          <w:cantSplit/>
          <w:trHeight w:hRule="exact" w:val="1004"/>
        </w:trPr>
        <w:tc>
          <w:tcPr>
            <w:tcW w:w="7088" w:type="dxa"/>
            <w:vMerge w:val="restart"/>
          </w:tcPr>
          <w:p w:rsidR="00D652A3" w:rsidRPr="007B3E6C" w:rsidRDefault="00D652A3" w:rsidP="00FC5401">
            <w:r>
              <w:rPr>
                <w:noProof/>
                <w:lang w:eastAsia="en-GB"/>
              </w:rPr>
              <w:drawing>
                <wp:inline distT="0" distB="0" distL="0" distR="0" wp14:anchorId="183FFA74" wp14:editId="6977E5D1">
                  <wp:extent cx="2095500" cy="1266825"/>
                  <wp:effectExtent l="0" t="0" r="0" b="9525"/>
                  <wp:docPr id="1" name="Picture 1" descr="Department for Business Innovation &amp;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for Business Innovation &amp; Skill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500" cy="1266825"/>
                          </a:xfrm>
                          <a:prstGeom prst="rect">
                            <a:avLst/>
                          </a:prstGeom>
                          <a:noFill/>
                          <a:ln>
                            <a:noFill/>
                          </a:ln>
                        </pic:spPr>
                      </pic:pic>
                    </a:graphicData>
                  </a:graphic>
                </wp:inline>
              </w:drawing>
            </w:r>
          </w:p>
        </w:tc>
        <w:tc>
          <w:tcPr>
            <w:tcW w:w="3119" w:type="dxa"/>
          </w:tcPr>
          <w:p w:rsidR="00D652A3" w:rsidRPr="007B3E6C" w:rsidRDefault="00D652A3" w:rsidP="00FC5401">
            <w:pPr>
              <w:pStyle w:val="address"/>
            </w:pPr>
          </w:p>
        </w:tc>
      </w:tr>
      <w:tr w:rsidR="00D652A3" w:rsidRPr="007B3E6C" w:rsidTr="00D652A3">
        <w:trPr>
          <w:cantSplit/>
          <w:trHeight w:val="1298"/>
        </w:trPr>
        <w:tc>
          <w:tcPr>
            <w:tcW w:w="7088" w:type="dxa"/>
            <w:vMerge/>
            <w:tcBorders>
              <w:bottom w:val="nil"/>
            </w:tcBorders>
          </w:tcPr>
          <w:p w:rsidR="00D652A3" w:rsidRPr="007B3E6C" w:rsidRDefault="00D652A3" w:rsidP="00FC5401"/>
        </w:tc>
        <w:tc>
          <w:tcPr>
            <w:tcW w:w="3119" w:type="dxa"/>
            <w:tcBorders>
              <w:bottom w:val="nil"/>
            </w:tcBorders>
          </w:tcPr>
          <w:p w:rsidR="00D652A3" w:rsidRPr="007B3E6C" w:rsidRDefault="00D652A3" w:rsidP="00FC5401">
            <w:pPr>
              <w:pStyle w:val="address"/>
            </w:pPr>
          </w:p>
        </w:tc>
      </w:tr>
      <w:tr w:rsidR="00D652A3" w:rsidRPr="007B3E6C" w:rsidTr="00D652A3">
        <w:trPr>
          <w:cantSplit/>
          <w:trHeight w:hRule="exact" w:val="340"/>
        </w:trPr>
        <w:tc>
          <w:tcPr>
            <w:tcW w:w="7088" w:type="dxa"/>
          </w:tcPr>
          <w:p w:rsidR="00D652A3" w:rsidRPr="007B3E6C" w:rsidRDefault="00D652A3" w:rsidP="00FC5401"/>
        </w:tc>
        <w:tc>
          <w:tcPr>
            <w:tcW w:w="3119" w:type="dxa"/>
          </w:tcPr>
          <w:p w:rsidR="00D652A3" w:rsidRPr="007B3E6C" w:rsidRDefault="00D652A3" w:rsidP="00FC5401">
            <w:pPr>
              <w:pStyle w:val="address"/>
            </w:pPr>
          </w:p>
        </w:tc>
      </w:tr>
    </w:tbl>
    <w:p w:rsidR="009E7854" w:rsidRDefault="009E7854"/>
    <w:p w:rsidR="009E7854" w:rsidRDefault="00D652A3" w:rsidP="00424BDC">
      <w:pPr>
        <w:jc w:val="right"/>
      </w:pPr>
      <w:r>
        <w:t>June 2016</w:t>
      </w:r>
    </w:p>
    <w:p w:rsidR="00424BDC" w:rsidRDefault="00424BDC" w:rsidP="00424BDC">
      <w:pPr>
        <w:jc w:val="right"/>
      </w:pPr>
    </w:p>
    <w:p w:rsidR="00424BDC" w:rsidRDefault="00424BDC" w:rsidP="00424BDC">
      <w:pPr>
        <w:jc w:val="right"/>
      </w:pPr>
      <w:r>
        <w:t>Ref: NMH QAF 3</w:t>
      </w:r>
      <w:r w:rsidRPr="00424BDC">
        <w:t>/2016</w:t>
      </w:r>
    </w:p>
    <w:p w:rsidR="009E7854" w:rsidRDefault="009E7854"/>
    <w:p w:rsidR="00CA0D46" w:rsidRDefault="002078A7">
      <w:r>
        <w:t xml:space="preserve">Dear NMH </w:t>
      </w:r>
      <w:r w:rsidR="00D652A3">
        <w:t>P</w:t>
      </w:r>
      <w:r>
        <w:t>rovider</w:t>
      </w:r>
    </w:p>
    <w:p w:rsidR="002078A7" w:rsidRDefault="002078A7"/>
    <w:p w:rsidR="002078A7" w:rsidRDefault="006D05EA">
      <w:r w:rsidRPr="009E7854">
        <w:t xml:space="preserve">You have indicated to DSA QAG during the NMH quality assurance framework registration process </w:t>
      </w:r>
      <w:r w:rsidR="002078A7" w:rsidRPr="009E7854">
        <w:t xml:space="preserve">that you are available to provide </w:t>
      </w:r>
      <w:r w:rsidR="008160F7" w:rsidRPr="009E7854">
        <w:t>non-medical help</w:t>
      </w:r>
      <w:r w:rsidRPr="009E7854">
        <w:t xml:space="preserve"> </w:t>
      </w:r>
      <w:r w:rsidR="002078A7" w:rsidRPr="009E7854">
        <w:t>support to students who are studying as distance learners.</w:t>
      </w:r>
      <w:r w:rsidR="002078A7">
        <w:t xml:space="preserve">  </w:t>
      </w:r>
    </w:p>
    <w:p w:rsidR="002078A7" w:rsidRDefault="002078A7"/>
    <w:p w:rsidR="002078A7" w:rsidRDefault="009E7854">
      <w:pPr>
        <w:rPr>
          <w:iCs/>
        </w:rPr>
      </w:pPr>
      <w:r>
        <w:rPr>
          <w:iCs/>
        </w:rPr>
        <w:t>To clarify, f</w:t>
      </w:r>
      <w:r w:rsidR="00BD00D1">
        <w:rPr>
          <w:iCs/>
        </w:rPr>
        <w:t xml:space="preserve">or DSAs NMH funding purposes, </w:t>
      </w:r>
      <w:r w:rsidR="002078A7" w:rsidRPr="002078A7">
        <w:rPr>
          <w:iCs/>
        </w:rPr>
        <w:t xml:space="preserve">distance learning support means support provided </w:t>
      </w:r>
      <w:r w:rsidR="002078A7" w:rsidRPr="002078A7">
        <w:rPr>
          <w:iCs/>
          <w:u w:val="single"/>
        </w:rPr>
        <w:t>in person</w:t>
      </w:r>
      <w:r w:rsidR="002078A7" w:rsidRPr="002078A7">
        <w:rPr>
          <w:iCs/>
        </w:rPr>
        <w:t xml:space="preserve"> to a student on a designated distance learning course and </w:t>
      </w:r>
      <w:r w:rsidR="000E26E5">
        <w:rPr>
          <w:iCs/>
        </w:rPr>
        <w:t xml:space="preserve">provided in </w:t>
      </w:r>
      <w:r w:rsidR="002078A7" w:rsidRPr="002078A7">
        <w:rPr>
          <w:iCs/>
        </w:rPr>
        <w:t>the student</w:t>
      </w:r>
      <w:r w:rsidR="000E26E5">
        <w:rPr>
          <w:iCs/>
        </w:rPr>
        <w:t xml:space="preserve">’s </w:t>
      </w:r>
      <w:r w:rsidR="002078A7" w:rsidRPr="002078A7">
        <w:rPr>
          <w:iCs/>
        </w:rPr>
        <w:t>home. It does not cover support via skype or email, or support that a distance learner accesses outside their home. Other in-person support, delivered in the home to students who are not registered on a designated distance learning course, will o</w:t>
      </w:r>
      <w:r w:rsidR="002078A7">
        <w:rPr>
          <w:iCs/>
        </w:rPr>
        <w:t>nly be considered by exception</w:t>
      </w:r>
      <w:r w:rsidR="008160F7">
        <w:rPr>
          <w:iCs/>
        </w:rPr>
        <w:t xml:space="preserve"> and where specified on the needs assessment report</w:t>
      </w:r>
      <w:r w:rsidR="002078A7">
        <w:rPr>
          <w:iCs/>
        </w:rPr>
        <w:t>.</w:t>
      </w:r>
    </w:p>
    <w:p w:rsidR="002078A7" w:rsidRDefault="002078A7">
      <w:pPr>
        <w:rPr>
          <w:iCs/>
        </w:rPr>
      </w:pPr>
    </w:p>
    <w:p w:rsidR="002078A7" w:rsidRDefault="002078A7">
      <w:pPr>
        <w:rPr>
          <w:iCs/>
        </w:rPr>
      </w:pPr>
      <w:r>
        <w:rPr>
          <w:iCs/>
        </w:rPr>
        <w:t>N</w:t>
      </w:r>
      <w:r w:rsidR="006D05EA">
        <w:rPr>
          <w:iCs/>
        </w:rPr>
        <w:t>M</w:t>
      </w:r>
      <w:r>
        <w:rPr>
          <w:iCs/>
        </w:rPr>
        <w:t xml:space="preserve">H Providers wishing to provide distance learning support in the context outlined above </w:t>
      </w:r>
      <w:r w:rsidR="008F63DD">
        <w:rPr>
          <w:iCs/>
        </w:rPr>
        <w:t>must undertake a risk assessment in order to comply with the NMH Q</w:t>
      </w:r>
      <w:r w:rsidR="00AE3DF6">
        <w:rPr>
          <w:iCs/>
        </w:rPr>
        <w:t>uality Assurance Framework (QAF)</w:t>
      </w:r>
      <w:r w:rsidR="008F63DD">
        <w:rPr>
          <w:iCs/>
        </w:rPr>
        <w:t xml:space="preserve"> standard 1.13.</w:t>
      </w:r>
      <w:r>
        <w:rPr>
          <w:iCs/>
        </w:rPr>
        <w:t xml:space="preserve">  NMH providers </w:t>
      </w:r>
      <w:r w:rsidR="008F63DD">
        <w:rPr>
          <w:iCs/>
        </w:rPr>
        <w:t xml:space="preserve">should also </w:t>
      </w:r>
      <w:r>
        <w:rPr>
          <w:iCs/>
        </w:rPr>
        <w:t xml:space="preserve">familiarise themselves with the quality assurance framework points </w:t>
      </w:r>
      <w:r w:rsidR="004261FF">
        <w:rPr>
          <w:iCs/>
        </w:rPr>
        <w:t xml:space="preserve">1.12 </w:t>
      </w:r>
      <w:r w:rsidR="000E26E5">
        <w:rPr>
          <w:iCs/>
        </w:rPr>
        <w:t>and</w:t>
      </w:r>
      <w:r w:rsidR="004261FF">
        <w:rPr>
          <w:iCs/>
        </w:rPr>
        <w:t xml:space="preserve"> 1.14 </w:t>
      </w:r>
      <w:r>
        <w:rPr>
          <w:iCs/>
        </w:rPr>
        <w:t>in particular and ensure that all the appropriate assessments and checks are in place</w:t>
      </w:r>
      <w:r w:rsidR="008F63DD">
        <w:rPr>
          <w:iCs/>
        </w:rPr>
        <w:t xml:space="preserve"> before offering this type of support</w:t>
      </w:r>
      <w:r>
        <w:rPr>
          <w:iCs/>
        </w:rPr>
        <w:t>.</w:t>
      </w:r>
    </w:p>
    <w:p w:rsidR="00BC2BA4" w:rsidRDefault="00BC2BA4">
      <w:pPr>
        <w:rPr>
          <w:iCs/>
        </w:rPr>
      </w:pPr>
    </w:p>
    <w:p w:rsidR="008474E3" w:rsidRDefault="008474E3">
      <w:pPr>
        <w:rPr>
          <w:iCs/>
        </w:rPr>
      </w:pPr>
      <w:r>
        <w:rPr>
          <w:iCs/>
        </w:rPr>
        <w:t xml:space="preserve">It is BIS view that NMH support workers providing services in-person, on a one-to-one basis, in the student’s home should have a Disclosure Scotland basic check </w:t>
      </w:r>
      <w:r w:rsidRPr="006755C6">
        <w:rPr>
          <w:iCs/>
          <w:u w:val="single"/>
        </w:rPr>
        <w:t>as a minimum</w:t>
      </w:r>
      <w:r>
        <w:rPr>
          <w:iCs/>
        </w:rPr>
        <w:t xml:space="preserve">.  This is to provide assurance to the student and mirrors the requirement placed on assistive technology service providers that provide support in the same circumstances.  Therefore BIS is introducing a requirement for a Disclosure Scotland basic check into the </w:t>
      </w:r>
      <w:r w:rsidR="00E40529">
        <w:rPr>
          <w:iCs/>
        </w:rPr>
        <w:t>Q</w:t>
      </w:r>
      <w:r>
        <w:rPr>
          <w:iCs/>
        </w:rPr>
        <w:t xml:space="preserve">uality </w:t>
      </w:r>
      <w:r w:rsidR="00E40529">
        <w:rPr>
          <w:iCs/>
        </w:rPr>
        <w:t>A</w:t>
      </w:r>
      <w:r>
        <w:rPr>
          <w:iCs/>
        </w:rPr>
        <w:t xml:space="preserve">ssurance </w:t>
      </w:r>
      <w:r w:rsidR="00E40529">
        <w:rPr>
          <w:iCs/>
        </w:rPr>
        <w:t>F</w:t>
      </w:r>
      <w:r>
        <w:rPr>
          <w:iCs/>
        </w:rPr>
        <w:t xml:space="preserve">ramework for this type of support.  An update will be made to the NMH QAF to reflect this in due course and this will be checked at audit.  Disclosure Scotland checks can be applied for by an employer, or by a self-employed person.  </w:t>
      </w:r>
    </w:p>
    <w:p w:rsidR="008474E3" w:rsidRDefault="008474E3">
      <w:pPr>
        <w:rPr>
          <w:iCs/>
        </w:rPr>
      </w:pPr>
    </w:p>
    <w:p w:rsidR="00E93A33" w:rsidRDefault="008474E3">
      <w:pPr>
        <w:rPr>
          <w:iCs/>
        </w:rPr>
      </w:pPr>
      <w:r>
        <w:rPr>
          <w:iCs/>
        </w:rPr>
        <w:t xml:space="preserve">In addition, NMH providers will need to consider whether they require a DBS check </w:t>
      </w:r>
      <w:r w:rsidR="00E40529">
        <w:rPr>
          <w:iCs/>
        </w:rPr>
        <w:t xml:space="preserve">for their employee </w:t>
      </w:r>
      <w:r>
        <w:rPr>
          <w:iCs/>
        </w:rPr>
        <w:t xml:space="preserve">in place of the Disclosure Scotland check set out above, in line with relevant legislation. </w:t>
      </w:r>
      <w:r w:rsidR="00097B1C">
        <w:rPr>
          <w:iCs/>
        </w:rPr>
        <w:t xml:space="preserve"> </w:t>
      </w:r>
      <w:r w:rsidR="00E93A33">
        <w:rPr>
          <w:iCs/>
        </w:rPr>
        <w:t xml:space="preserve">BIS will issue further </w:t>
      </w:r>
      <w:r w:rsidR="00AE3DF6">
        <w:rPr>
          <w:iCs/>
        </w:rPr>
        <w:t xml:space="preserve">information </w:t>
      </w:r>
      <w:r w:rsidR="00E93A33">
        <w:rPr>
          <w:iCs/>
        </w:rPr>
        <w:t xml:space="preserve">on Disclosure and Barring Service (DBS) checks </w:t>
      </w:r>
      <w:r w:rsidR="009E7854">
        <w:rPr>
          <w:iCs/>
        </w:rPr>
        <w:t>separately</w:t>
      </w:r>
      <w:r w:rsidR="00E93A33">
        <w:rPr>
          <w:iCs/>
        </w:rPr>
        <w:t xml:space="preserve">. </w:t>
      </w:r>
    </w:p>
    <w:p w:rsidR="00BD00D1" w:rsidRDefault="00BD00D1">
      <w:pPr>
        <w:rPr>
          <w:iCs/>
        </w:rPr>
      </w:pPr>
    </w:p>
    <w:p w:rsidR="002078A7" w:rsidRDefault="002078A7">
      <w:pPr>
        <w:rPr>
          <w:iCs/>
        </w:rPr>
      </w:pPr>
      <w:r>
        <w:rPr>
          <w:iCs/>
        </w:rPr>
        <w:lastRenderedPageBreak/>
        <w:t xml:space="preserve">If having read this information you do not wish </w:t>
      </w:r>
      <w:r w:rsidR="00CE4A88">
        <w:rPr>
          <w:iCs/>
        </w:rPr>
        <w:t>to be registered as providing</w:t>
      </w:r>
      <w:r>
        <w:rPr>
          <w:iCs/>
        </w:rPr>
        <w:t xml:space="preserve"> </w:t>
      </w:r>
      <w:r w:rsidR="00CE4A88">
        <w:rPr>
          <w:iCs/>
        </w:rPr>
        <w:t xml:space="preserve">in-person </w:t>
      </w:r>
      <w:r>
        <w:rPr>
          <w:iCs/>
        </w:rPr>
        <w:t>distance learning service</w:t>
      </w:r>
      <w:r w:rsidR="00CE4A88">
        <w:rPr>
          <w:iCs/>
        </w:rPr>
        <w:t>s</w:t>
      </w:r>
      <w:r>
        <w:rPr>
          <w:iCs/>
        </w:rPr>
        <w:t>, then please contact DSA QAG at</w:t>
      </w:r>
      <w:r w:rsidR="008428AD">
        <w:rPr>
          <w:iCs/>
        </w:rPr>
        <w:t xml:space="preserve"> </w:t>
      </w:r>
      <w:hyperlink r:id="rId6" w:history="1">
        <w:r w:rsidR="0000209D" w:rsidRPr="007B5739">
          <w:rPr>
            <w:rStyle w:val="Hyperlink"/>
            <w:iCs/>
          </w:rPr>
          <w:t>NMHupdates@dsa-qag.org.uk</w:t>
        </w:r>
      </w:hyperlink>
      <w:r w:rsidR="0000209D">
        <w:rPr>
          <w:iCs/>
        </w:rPr>
        <w:t xml:space="preserve"> </w:t>
      </w:r>
      <w:r>
        <w:rPr>
          <w:iCs/>
        </w:rPr>
        <w:t>in order to have your record updated.</w:t>
      </w:r>
      <w:r w:rsidR="00CE4A88">
        <w:rPr>
          <w:iCs/>
        </w:rPr>
        <w:t xml:space="preserve"> </w:t>
      </w:r>
    </w:p>
    <w:p w:rsidR="002078A7" w:rsidRDefault="002078A7">
      <w:pPr>
        <w:rPr>
          <w:iCs/>
        </w:rPr>
      </w:pPr>
    </w:p>
    <w:p w:rsidR="00BD00D1" w:rsidRDefault="002078A7">
      <w:pPr>
        <w:rPr>
          <w:rStyle w:val="Hyperlink"/>
          <w:iCs/>
        </w:rPr>
      </w:pPr>
      <w:r>
        <w:rPr>
          <w:iCs/>
        </w:rPr>
        <w:t xml:space="preserve">If you do wish to continue </w:t>
      </w:r>
      <w:r w:rsidR="00551523">
        <w:rPr>
          <w:iCs/>
        </w:rPr>
        <w:t xml:space="preserve">to be considered for </w:t>
      </w:r>
      <w:r w:rsidR="009E7854">
        <w:rPr>
          <w:iCs/>
        </w:rPr>
        <w:t xml:space="preserve">in-person </w:t>
      </w:r>
      <w:r w:rsidR="00551523">
        <w:rPr>
          <w:iCs/>
        </w:rPr>
        <w:t>distance learning provision</w:t>
      </w:r>
      <w:r w:rsidR="00BD00D1">
        <w:rPr>
          <w:iCs/>
        </w:rPr>
        <w:t xml:space="preserve"> we require some additional information from you.  Please provide details of any</w:t>
      </w:r>
      <w:r w:rsidR="00551523">
        <w:rPr>
          <w:iCs/>
        </w:rPr>
        <w:t xml:space="preserve"> additional costs that you are likely to incur in order to provide such support</w:t>
      </w:r>
      <w:r w:rsidR="00BD00D1">
        <w:rPr>
          <w:iCs/>
        </w:rPr>
        <w:t>,</w:t>
      </w:r>
      <w:r w:rsidR="00551523">
        <w:rPr>
          <w:iCs/>
        </w:rPr>
        <w:t xml:space="preserve"> and also whether this will result in a higher rate being charged for that provision.  </w:t>
      </w:r>
      <w:r w:rsidR="00BD00D1">
        <w:rPr>
          <w:iCs/>
        </w:rPr>
        <w:t xml:space="preserve">Please send this information on the attached template directly to BIS at </w:t>
      </w:r>
      <w:hyperlink r:id="rId7" w:history="1">
        <w:r w:rsidR="00BD00D1" w:rsidRPr="00BD00D1">
          <w:rPr>
            <w:rStyle w:val="Hyperlink"/>
            <w:iCs/>
          </w:rPr>
          <w:t>disabledstudentsallowances@bis.gsi.gov.uk</w:t>
        </w:r>
      </w:hyperlink>
    </w:p>
    <w:p w:rsidR="00BD00D1" w:rsidRDefault="00BD00D1">
      <w:pPr>
        <w:rPr>
          <w:rStyle w:val="Hyperlink"/>
          <w:iCs/>
        </w:rPr>
      </w:pPr>
    </w:p>
    <w:p w:rsidR="006D05EA" w:rsidRDefault="00551523">
      <w:pPr>
        <w:rPr>
          <w:iCs/>
        </w:rPr>
      </w:pPr>
      <w:r>
        <w:rPr>
          <w:iCs/>
        </w:rPr>
        <w:t xml:space="preserve">Once BIS has this information we will consider whether the maximum rates that are currently in place for each of the NMH support roles should be amended in relation to distance learning support.  </w:t>
      </w:r>
    </w:p>
    <w:p w:rsidR="006D05EA" w:rsidRDefault="006D05EA">
      <w:pPr>
        <w:rPr>
          <w:iCs/>
        </w:rPr>
      </w:pPr>
    </w:p>
    <w:p w:rsidR="006D05EA" w:rsidRDefault="00CE4A88">
      <w:pPr>
        <w:rPr>
          <w:iCs/>
        </w:rPr>
      </w:pPr>
      <w:r>
        <w:rPr>
          <w:iCs/>
        </w:rPr>
        <w:t xml:space="preserve">We are separately considering how remotely delivered services (e.g. by skype) can be displayed on the </w:t>
      </w:r>
      <w:r w:rsidR="00AE3DF6">
        <w:rPr>
          <w:iCs/>
        </w:rPr>
        <w:t xml:space="preserve">DSA </w:t>
      </w:r>
      <w:r>
        <w:rPr>
          <w:iCs/>
        </w:rPr>
        <w:t>QAG register, and what DSAs funding might be avail</w:t>
      </w:r>
      <w:r w:rsidR="00AE3DF6">
        <w:rPr>
          <w:iCs/>
        </w:rPr>
        <w:t xml:space="preserve">able for such support when specifically recommended by the study needs assessor. </w:t>
      </w:r>
    </w:p>
    <w:p w:rsidR="00CE4A88" w:rsidRDefault="00CE4A88">
      <w:pPr>
        <w:rPr>
          <w:iCs/>
        </w:rPr>
      </w:pPr>
    </w:p>
    <w:p w:rsidR="001B7CD7" w:rsidRDefault="001B7CD7">
      <w:pPr>
        <w:rPr>
          <w:iCs/>
        </w:rPr>
      </w:pPr>
      <w:r>
        <w:rPr>
          <w:iCs/>
        </w:rPr>
        <w:t>Yours sincerely</w:t>
      </w:r>
    </w:p>
    <w:p w:rsidR="001B7CD7" w:rsidRDefault="001B7CD7">
      <w:pPr>
        <w:rPr>
          <w:iCs/>
        </w:rPr>
      </w:pPr>
    </w:p>
    <w:p w:rsidR="009E7854" w:rsidRDefault="009E7854">
      <w:pPr>
        <w:rPr>
          <w:iCs/>
        </w:rPr>
      </w:pPr>
    </w:p>
    <w:p w:rsidR="009E7854" w:rsidRDefault="009E7854">
      <w:pPr>
        <w:rPr>
          <w:iCs/>
        </w:rPr>
      </w:pPr>
    </w:p>
    <w:p w:rsidR="009E7854" w:rsidRDefault="009E7854">
      <w:pPr>
        <w:rPr>
          <w:iCs/>
        </w:rPr>
      </w:pPr>
    </w:p>
    <w:p w:rsidR="009E7854" w:rsidRDefault="009E7854">
      <w:pPr>
        <w:rPr>
          <w:iCs/>
        </w:rPr>
      </w:pPr>
    </w:p>
    <w:p w:rsidR="001B7CD7" w:rsidRDefault="001B7CD7">
      <w:pPr>
        <w:rPr>
          <w:iCs/>
        </w:rPr>
      </w:pPr>
      <w:r>
        <w:rPr>
          <w:iCs/>
        </w:rPr>
        <w:t>The DSAs Team</w:t>
      </w:r>
    </w:p>
    <w:p w:rsidR="001B7CD7" w:rsidRDefault="001B7CD7">
      <w:pPr>
        <w:rPr>
          <w:iCs/>
        </w:rPr>
      </w:pPr>
      <w:r>
        <w:rPr>
          <w:iCs/>
        </w:rPr>
        <w:t>BIS</w:t>
      </w:r>
    </w:p>
    <w:p w:rsidR="001B7CD7" w:rsidRDefault="001B7CD7">
      <w:pPr>
        <w:rPr>
          <w:iCs/>
        </w:rPr>
        <w:sectPr w:rsidR="001B7CD7">
          <w:pgSz w:w="11906" w:h="16838"/>
          <w:pgMar w:top="1440" w:right="1440" w:bottom="1440" w:left="1440" w:header="708" w:footer="708" w:gutter="0"/>
          <w:cols w:space="708"/>
          <w:docGrid w:linePitch="360"/>
        </w:sectPr>
      </w:pPr>
    </w:p>
    <w:p w:rsidR="001B7CD7" w:rsidRDefault="001B7CD7">
      <w:pPr>
        <w:rPr>
          <w:iCs/>
        </w:rPr>
      </w:pPr>
    </w:p>
    <w:p w:rsidR="001B7CD7" w:rsidRDefault="001B7CD7">
      <w:pPr>
        <w:rPr>
          <w:iCs/>
        </w:rPr>
      </w:pPr>
    </w:p>
    <w:tbl>
      <w:tblPr>
        <w:tblStyle w:val="TableGrid"/>
        <w:tblW w:w="0" w:type="auto"/>
        <w:tblLook w:val="04A0" w:firstRow="1" w:lastRow="0" w:firstColumn="1" w:lastColumn="0" w:noHBand="0" w:noVBand="1"/>
      </w:tblPr>
      <w:tblGrid>
        <w:gridCol w:w="2310"/>
        <w:gridCol w:w="5028"/>
        <w:gridCol w:w="3118"/>
        <w:gridCol w:w="2977"/>
      </w:tblGrid>
      <w:tr w:rsidR="001B7CD7" w:rsidTr="001B7CD7">
        <w:tc>
          <w:tcPr>
            <w:tcW w:w="13433" w:type="dxa"/>
            <w:gridSpan w:val="4"/>
          </w:tcPr>
          <w:p w:rsidR="001B7CD7" w:rsidRDefault="001B7CD7">
            <w:r>
              <w:t>Name of NMH provider (as listed on the DSA QAG website)</w:t>
            </w:r>
          </w:p>
        </w:tc>
      </w:tr>
      <w:tr w:rsidR="001B7CD7" w:rsidTr="001B7CD7">
        <w:tc>
          <w:tcPr>
            <w:tcW w:w="13433" w:type="dxa"/>
            <w:gridSpan w:val="4"/>
          </w:tcPr>
          <w:p w:rsidR="001B7CD7" w:rsidRDefault="001B7CD7"/>
          <w:p w:rsidR="001B7CD7" w:rsidRDefault="001B7CD7"/>
        </w:tc>
      </w:tr>
      <w:tr w:rsidR="00551523" w:rsidTr="00097B1C">
        <w:tc>
          <w:tcPr>
            <w:tcW w:w="2310" w:type="dxa"/>
          </w:tcPr>
          <w:p w:rsidR="00551523" w:rsidRDefault="00551523">
            <w:r>
              <w:t>NMH support roles you provide</w:t>
            </w:r>
          </w:p>
        </w:tc>
        <w:tc>
          <w:tcPr>
            <w:tcW w:w="5028" w:type="dxa"/>
          </w:tcPr>
          <w:p w:rsidR="00551523" w:rsidRDefault="00551523">
            <w:r>
              <w:t>Role</w:t>
            </w:r>
          </w:p>
        </w:tc>
        <w:tc>
          <w:tcPr>
            <w:tcW w:w="3118" w:type="dxa"/>
          </w:tcPr>
          <w:p w:rsidR="00551523" w:rsidRDefault="00551523" w:rsidP="00551523">
            <w:r>
              <w:t>Current hourly rate (standard provision)</w:t>
            </w:r>
          </w:p>
        </w:tc>
        <w:tc>
          <w:tcPr>
            <w:tcW w:w="2977" w:type="dxa"/>
          </w:tcPr>
          <w:p w:rsidR="00551523" w:rsidRDefault="00551523">
            <w:r>
              <w:t>Expected hourly rate for distance learning provision</w:t>
            </w:r>
          </w:p>
        </w:tc>
      </w:tr>
      <w:tr w:rsidR="00551523" w:rsidTr="00097B1C">
        <w:tc>
          <w:tcPr>
            <w:tcW w:w="2310" w:type="dxa"/>
          </w:tcPr>
          <w:p w:rsidR="00551523" w:rsidRDefault="00551523">
            <w:r>
              <w:t>Support role 1</w:t>
            </w:r>
          </w:p>
        </w:tc>
        <w:tc>
          <w:tcPr>
            <w:tcW w:w="5028" w:type="dxa"/>
          </w:tcPr>
          <w:p w:rsidR="00551523" w:rsidRDefault="00551523"/>
        </w:tc>
        <w:tc>
          <w:tcPr>
            <w:tcW w:w="3118" w:type="dxa"/>
          </w:tcPr>
          <w:p w:rsidR="00551523" w:rsidRDefault="00551523"/>
        </w:tc>
        <w:tc>
          <w:tcPr>
            <w:tcW w:w="2977" w:type="dxa"/>
          </w:tcPr>
          <w:p w:rsidR="00551523" w:rsidRDefault="00551523"/>
        </w:tc>
      </w:tr>
      <w:tr w:rsidR="00551523" w:rsidTr="00097B1C">
        <w:tc>
          <w:tcPr>
            <w:tcW w:w="2310" w:type="dxa"/>
          </w:tcPr>
          <w:p w:rsidR="00551523" w:rsidRDefault="001B7CD7">
            <w:r>
              <w:t>Support role 2</w:t>
            </w:r>
          </w:p>
        </w:tc>
        <w:tc>
          <w:tcPr>
            <w:tcW w:w="5028" w:type="dxa"/>
          </w:tcPr>
          <w:p w:rsidR="00551523" w:rsidRDefault="00551523"/>
        </w:tc>
        <w:tc>
          <w:tcPr>
            <w:tcW w:w="3118" w:type="dxa"/>
          </w:tcPr>
          <w:p w:rsidR="00551523" w:rsidRDefault="00551523"/>
        </w:tc>
        <w:tc>
          <w:tcPr>
            <w:tcW w:w="2977" w:type="dxa"/>
          </w:tcPr>
          <w:p w:rsidR="00551523" w:rsidRDefault="00551523"/>
        </w:tc>
      </w:tr>
      <w:tr w:rsidR="00551523" w:rsidTr="00097B1C">
        <w:tc>
          <w:tcPr>
            <w:tcW w:w="2310" w:type="dxa"/>
          </w:tcPr>
          <w:p w:rsidR="00551523" w:rsidRDefault="001B7CD7">
            <w:r>
              <w:t>Support role 3</w:t>
            </w:r>
          </w:p>
        </w:tc>
        <w:tc>
          <w:tcPr>
            <w:tcW w:w="5028" w:type="dxa"/>
          </w:tcPr>
          <w:p w:rsidR="00551523" w:rsidRDefault="00551523"/>
        </w:tc>
        <w:tc>
          <w:tcPr>
            <w:tcW w:w="3118" w:type="dxa"/>
          </w:tcPr>
          <w:p w:rsidR="00551523" w:rsidRDefault="00551523"/>
        </w:tc>
        <w:tc>
          <w:tcPr>
            <w:tcW w:w="2977" w:type="dxa"/>
          </w:tcPr>
          <w:p w:rsidR="00551523" w:rsidRDefault="00551523"/>
        </w:tc>
      </w:tr>
      <w:tr w:rsidR="00551523" w:rsidTr="00097B1C">
        <w:tc>
          <w:tcPr>
            <w:tcW w:w="2310" w:type="dxa"/>
          </w:tcPr>
          <w:p w:rsidR="00551523" w:rsidRDefault="001B7CD7">
            <w:r>
              <w:t>Support role 4</w:t>
            </w:r>
          </w:p>
        </w:tc>
        <w:tc>
          <w:tcPr>
            <w:tcW w:w="5028" w:type="dxa"/>
          </w:tcPr>
          <w:p w:rsidR="00551523" w:rsidRDefault="00551523"/>
        </w:tc>
        <w:tc>
          <w:tcPr>
            <w:tcW w:w="3118" w:type="dxa"/>
          </w:tcPr>
          <w:p w:rsidR="00551523" w:rsidRDefault="00551523"/>
        </w:tc>
        <w:tc>
          <w:tcPr>
            <w:tcW w:w="2977" w:type="dxa"/>
          </w:tcPr>
          <w:p w:rsidR="00551523" w:rsidRDefault="00551523"/>
        </w:tc>
      </w:tr>
      <w:tr w:rsidR="001B7CD7" w:rsidTr="00097B1C">
        <w:tc>
          <w:tcPr>
            <w:tcW w:w="2310" w:type="dxa"/>
          </w:tcPr>
          <w:p w:rsidR="001B7CD7" w:rsidRDefault="001B7CD7">
            <w:r>
              <w:t>Support role 5</w:t>
            </w:r>
          </w:p>
        </w:tc>
        <w:tc>
          <w:tcPr>
            <w:tcW w:w="5028" w:type="dxa"/>
          </w:tcPr>
          <w:p w:rsidR="001B7CD7" w:rsidRDefault="001B7CD7"/>
        </w:tc>
        <w:tc>
          <w:tcPr>
            <w:tcW w:w="3118" w:type="dxa"/>
          </w:tcPr>
          <w:p w:rsidR="001B7CD7" w:rsidRDefault="001B7CD7"/>
        </w:tc>
        <w:tc>
          <w:tcPr>
            <w:tcW w:w="2977" w:type="dxa"/>
          </w:tcPr>
          <w:p w:rsidR="001B7CD7" w:rsidRDefault="001B7CD7"/>
        </w:tc>
      </w:tr>
      <w:tr w:rsidR="001B7CD7" w:rsidTr="00097B1C">
        <w:tc>
          <w:tcPr>
            <w:tcW w:w="2310" w:type="dxa"/>
          </w:tcPr>
          <w:p w:rsidR="001B7CD7" w:rsidRDefault="001B7CD7">
            <w:r>
              <w:t>Support role 6</w:t>
            </w:r>
          </w:p>
        </w:tc>
        <w:tc>
          <w:tcPr>
            <w:tcW w:w="5028" w:type="dxa"/>
          </w:tcPr>
          <w:p w:rsidR="001B7CD7" w:rsidRDefault="001B7CD7"/>
        </w:tc>
        <w:tc>
          <w:tcPr>
            <w:tcW w:w="3118" w:type="dxa"/>
          </w:tcPr>
          <w:p w:rsidR="001B7CD7" w:rsidRDefault="001B7CD7"/>
        </w:tc>
        <w:tc>
          <w:tcPr>
            <w:tcW w:w="2977" w:type="dxa"/>
          </w:tcPr>
          <w:p w:rsidR="001B7CD7" w:rsidRDefault="001B7CD7"/>
        </w:tc>
      </w:tr>
      <w:tr w:rsidR="001B7CD7" w:rsidTr="00097B1C">
        <w:tc>
          <w:tcPr>
            <w:tcW w:w="2310" w:type="dxa"/>
          </w:tcPr>
          <w:p w:rsidR="001B7CD7" w:rsidRDefault="001B7CD7">
            <w:r>
              <w:t>Support role 7</w:t>
            </w:r>
          </w:p>
        </w:tc>
        <w:tc>
          <w:tcPr>
            <w:tcW w:w="5028" w:type="dxa"/>
          </w:tcPr>
          <w:p w:rsidR="001B7CD7" w:rsidRDefault="001B7CD7"/>
        </w:tc>
        <w:tc>
          <w:tcPr>
            <w:tcW w:w="3118" w:type="dxa"/>
          </w:tcPr>
          <w:p w:rsidR="001B7CD7" w:rsidRDefault="001B7CD7"/>
        </w:tc>
        <w:tc>
          <w:tcPr>
            <w:tcW w:w="2977" w:type="dxa"/>
          </w:tcPr>
          <w:p w:rsidR="001B7CD7" w:rsidRDefault="001B7CD7"/>
        </w:tc>
      </w:tr>
      <w:tr w:rsidR="001B7CD7" w:rsidTr="00097B1C">
        <w:tc>
          <w:tcPr>
            <w:tcW w:w="2310" w:type="dxa"/>
          </w:tcPr>
          <w:p w:rsidR="001B7CD7" w:rsidRDefault="001B7CD7">
            <w:r>
              <w:t>Support role 8</w:t>
            </w:r>
          </w:p>
        </w:tc>
        <w:tc>
          <w:tcPr>
            <w:tcW w:w="5028" w:type="dxa"/>
          </w:tcPr>
          <w:p w:rsidR="001B7CD7" w:rsidRDefault="001B7CD7"/>
        </w:tc>
        <w:tc>
          <w:tcPr>
            <w:tcW w:w="3118" w:type="dxa"/>
          </w:tcPr>
          <w:p w:rsidR="001B7CD7" w:rsidRDefault="001B7CD7"/>
        </w:tc>
        <w:tc>
          <w:tcPr>
            <w:tcW w:w="2977" w:type="dxa"/>
          </w:tcPr>
          <w:p w:rsidR="001B7CD7" w:rsidRDefault="001B7CD7"/>
        </w:tc>
      </w:tr>
      <w:tr w:rsidR="001B7CD7" w:rsidTr="00097B1C">
        <w:tc>
          <w:tcPr>
            <w:tcW w:w="2310" w:type="dxa"/>
          </w:tcPr>
          <w:p w:rsidR="001B7CD7" w:rsidRDefault="001B7CD7">
            <w:r>
              <w:t>Support role 9</w:t>
            </w:r>
          </w:p>
        </w:tc>
        <w:tc>
          <w:tcPr>
            <w:tcW w:w="5028" w:type="dxa"/>
          </w:tcPr>
          <w:p w:rsidR="001B7CD7" w:rsidRDefault="001B7CD7"/>
        </w:tc>
        <w:tc>
          <w:tcPr>
            <w:tcW w:w="3118" w:type="dxa"/>
          </w:tcPr>
          <w:p w:rsidR="001B7CD7" w:rsidRDefault="001B7CD7"/>
        </w:tc>
        <w:tc>
          <w:tcPr>
            <w:tcW w:w="2977" w:type="dxa"/>
          </w:tcPr>
          <w:p w:rsidR="001B7CD7" w:rsidRDefault="001B7CD7"/>
        </w:tc>
      </w:tr>
      <w:tr w:rsidR="001B7CD7" w:rsidTr="00097B1C">
        <w:tc>
          <w:tcPr>
            <w:tcW w:w="2310" w:type="dxa"/>
          </w:tcPr>
          <w:p w:rsidR="001B7CD7" w:rsidRDefault="001B7CD7">
            <w:r>
              <w:t>Support role 10*</w:t>
            </w:r>
          </w:p>
        </w:tc>
        <w:tc>
          <w:tcPr>
            <w:tcW w:w="5028" w:type="dxa"/>
          </w:tcPr>
          <w:p w:rsidR="001B7CD7" w:rsidRDefault="001B7CD7"/>
        </w:tc>
        <w:tc>
          <w:tcPr>
            <w:tcW w:w="3118" w:type="dxa"/>
          </w:tcPr>
          <w:p w:rsidR="001B7CD7" w:rsidRDefault="001B7CD7"/>
        </w:tc>
        <w:tc>
          <w:tcPr>
            <w:tcW w:w="2977" w:type="dxa"/>
          </w:tcPr>
          <w:p w:rsidR="001B7CD7" w:rsidRDefault="001B7CD7"/>
        </w:tc>
      </w:tr>
    </w:tbl>
    <w:p w:rsidR="00551523" w:rsidRDefault="00551523"/>
    <w:p w:rsidR="001B7CD7" w:rsidRDefault="001B7CD7">
      <w:r>
        <w:t>*add additional roles to the table if required.</w:t>
      </w:r>
    </w:p>
    <w:p w:rsidR="001B7CD7" w:rsidRDefault="001B7CD7"/>
    <w:p w:rsidR="001B7CD7" w:rsidRDefault="001B7CD7">
      <w:r>
        <w:t>If you have notified BIS of a regional rate structure</w:t>
      </w:r>
      <w:r w:rsidR="006D05EA">
        <w:t>, please complete a template for each region in which you provide services and state next to your name which region the rates apply to.  Most NMH providers do not have a regional rate structure and can complete just one template with their current</w:t>
      </w:r>
      <w:r w:rsidR="00BC2BA4">
        <w:t xml:space="preserve"> (standard)</w:t>
      </w:r>
      <w:r w:rsidR="006D05EA">
        <w:t xml:space="preserve"> </w:t>
      </w:r>
      <w:r w:rsidR="00BC2BA4">
        <w:t xml:space="preserve">and expected (DL) </w:t>
      </w:r>
      <w:r w:rsidR="006D05EA">
        <w:t>rates</w:t>
      </w:r>
      <w:r w:rsidR="00E93A33">
        <w:t>.</w:t>
      </w:r>
    </w:p>
    <w:p w:rsidR="00097B1C" w:rsidRDefault="00097B1C"/>
    <w:tbl>
      <w:tblPr>
        <w:tblStyle w:val="TableGrid"/>
        <w:tblW w:w="0" w:type="auto"/>
        <w:tblLook w:val="04A0" w:firstRow="1" w:lastRow="0" w:firstColumn="1" w:lastColumn="0" w:noHBand="0" w:noVBand="1"/>
      </w:tblPr>
      <w:tblGrid>
        <w:gridCol w:w="14174"/>
      </w:tblGrid>
      <w:tr w:rsidR="00097B1C" w:rsidTr="00097B1C">
        <w:tc>
          <w:tcPr>
            <w:tcW w:w="14174" w:type="dxa"/>
          </w:tcPr>
          <w:p w:rsidR="00097B1C" w:rsidRDefault="00016F08">
            <w:r>
              <w:t xml:space="preserve">Additional information.  </w:t>
            </w:r>
            <w:r w:rsidR="00807896">
              <w:t xml:space="preserve">Please provide details of how your </w:t>
            </w:r>
            <w:r>
              <w:t xml:space="preserve">Distance Learning </w:t>
            </w:r>
            <w:r w:rsidR="00807896">
              <w:t xml:space="preserve">rate has been calculated.  This information will be kept confidential and will only be used by BIS to determine if a separate rate is necessary for </w:t>
            </w:r>
            <w:r>
              <w:t>Distance Learning</w:t>
            </w:r>
            <w:r w:rsidR="00807896">
              <w:t xml:space="preserve"> provision.  </w:t>
            </w:r>
          </w:p>
          <w:p w:rsidR="00097B1C" w:rsidRDefault="00097B1C"/>
          <w:p w:rsidR="00097B1C" w:rsidRDefault="00097B1C"/>
          <w:p w:rsidR="00097B1C" w:rsidRDefault="00097B1C"/>
          <w:p w:rsidR="00097B1C" w:rsidRDefault="00097B1C"/>
          <w:p w:rsidR="00097B1C" w:rsidRDefault="00097B1C"/>
          <w:p w:rsidR="00097B1C" w:rsidRDefault="00097B1C"/>
          <w:p w:rsidR="00097B1C" w:rsidRDefault="00097B1C"/>
          <w:p w:rsidR="00097B1C" w:rsidRDefault="00097B1C"/>
          <w:p w:rsidR="00097B1C" w:rsidRDefault="00097B1C"/>
          <w:p w:rsidR="00097B1C" w:rsidRDefault="00097B1C"/>
          <w:p w:rsidR="00097B1C" w:rsidRDefault="00097B1C"/>
          <w:p w:rsidR="00097B1C" w:rsidRDefault="00097B1C"/>
          <w:p w:rsidR="00097B1C" w:rsidRDefault="00097B1C"/>
          <w:p w:rsidR="00097B1C" w:rsidRDefault="00097B1C"/>
        </w:tc>
      </w:tr>
    </w:tbl>
    <w:p w:rsidR="00097B1C" w:rsidRPr="002078A7" w:rsidRDefault="00097B1C">
      <w:bookmarkStart w:id="0" w:name="_GoBack"/>
      <w:bookmarkEnd w:id="0"/>
    </w:p>
    <w:sectPr w:rsidR="00097B1C" w:rsidRPr="002078A7" w:rsidSect="001B7CD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8A7"/>
    <w:rsid w:val="0000209D"/>
    <w:rsid w:val="00016F08"/>
    <w:rsid w:val="00097B1C"/>
    <w:rsid w:val="000E26E5"/>
    <w:rsid w:val="001551B2"/>
    <w:rsid w:val="001B7CD7"/>
    <w:rsid w:val="002078A7"/>
    <w:rsid w:val="0025582D"/>
    <w:rsid w:val="003D6068"/>
    <w:rsid w:val="00424BDC"/>
    <w:rsid w:val="004261FF"/>
    <w:rsid w:val="00551523"/>
    <w:rsid w:val="006D05EA"/>
    <w:rsid w:val="00807896"/>
    <w:rsid w:val="008160F7"/>
    <w:rsid w:val="008428AD"/>
    <w:rsid w:val="008474E3"/>
    <w:rsid w:val="008F63DD"/>
    <w:rsid w:val="009E7854"/>
    <w:rsid w:val="00AE3DF6"/>
    <w:rsid w:val="00BC2BA4"/>
    <w:rsid w:val="00BD00D1"/>
    <w:rsid w:val="00CA0D46"/>
    <w:rsid w:val="00CD0671"/>
    <w:rsid w:val="00CE4A88"/>
    <w:rsid w:val="00D03AB4"/>
    <w:rsid w:val="00D652A3"/>
    <w:rsid w:val="00E34EC2"/>
    <w:rsid w:val="00E40529"/>
    <w:rsid w:val="00E93A33"/>
    <w:rsid w:val="00EC0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523"/>
    <w:rPr>
      <w:color w:val="0000FF" w:themeColor="hyperlink"/>
      <w:u w:val="single"/>
    </w:rPr>
  </w:style>
  <w:style w:type="table" w:styleId="TableGrid">
    <w:name w:val="Table Grid"/>
    <w:basedOn w:val="TableNormal"/>
    <w:uiPriority w:val="59"/>
    <w:rsid w:val="00551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60F7"/>
    <w:rPr>
      <w:sz w:val="16"/>
      <w:szCs w:val="16"/>
    </w:rPr>
  </w:style>
  <w:style w:type="paragraph" w:styleId="CommentText">
    <w:name w:val="annotation text"/>
    <w:basedOn w:val="Normal"/>
    <w:link w:val="CommentTextChar"/>
    <w:uiPriority w:val="99"/>
    <w:semiHidden/>
    <w:unhideWhenUsed/>
    <w:rsid w:val="008160F7"/>
    <w:rPr>
      <w:sz w:val="20"/>
      <w:szCs w:val="20"/>
    </w:rPr>
  </w:style>
  <w:style w:type="character" w:customStyle="1" w:styleId="CommentTextChar">
    <w:name w:val="Comment Text Char"/>
    <w:basedOn w:val="DefaultParagraphFont"/>
    <w:link w:val="CommentText"/>
    <w:uiPriority w:val="99"/>
    <w:semiHidden/>
    <w:rsid w:val="008160F7"/>
    <w:rPr>
      <w:sz w:val="20"/>
      <w:szCs w:val="20"/>
    </w:rPr>
  </w:style>
  <w:style w:type="paragraph" w:styleId="CommentSubject">
    <w:name w:val="annotation subject"/>
    <w:basedOn w:val="CommentText"/>
    <w:next w:val="CommentText"/>
    <w:link w:val="CommentSubjectChar"/>
    <w:uiPriority w:val="99"/>
    <w:semiHidden/>
    <w:unhideWhenUsed/>
    <w:rsid w:val="008160F7"/>
    <w:rPr>
      <w:b/>
      <w:bCs/>
    </w:rPr>
  </w:style>
  <w:style w:type="character" w:customStyle="1" w:styleId="CommentSubjectChar">
    <w:name w:val="Comment Subject Char"/>
    <w:basedOn w:val="CommentTextChar"/>
    <w:link w:val="CommentSubject"/>
    <w:uiPriority w:val="99"/>
    <w:semiHidden/>
    <w:rsid w:val="008160F7"/>
    <w:rPr>
      <w:b/>
      <w:bCs/>
      <w:sz w:val="20"/>
      <w:szCs w:val="20"/>
    </w:rPr>
  </w:style>
  <w:style w:type="paragraph" w:styleId="BalloonText">
    <w:name w:val="Balloon Text"/>
    <w:basedOn w:val="Normal"/>
    <w:link w:val="BalloonTextChar"/>
    <w:uiPriority w:val="99"/>
    <w:semiHidden/>
    <w:unhideWhenUsed/>
    <w:rsid w:val="008160F7"/>
    <w:rPr>
      <w:rFonts w:ascii="Tahoma" w:hAnsi="Tahoma" w:cs="Tahoma"/>
      <w:sz w:val="16"/>
      <w:szCs w:val="16"/>
    </w:rPr>
  </w:style>
  <w:style w:type="character" w:customStyle="1" w:styleId="BalloonTextChar">
    <w:name w:val="Balloon Text Char"/>
    <w:basedOn w:val="DefaultParagraphFont"/>
    <w:link w:val="BalloonText"/>
    <w:uiPriority w:val="99"/>
    <w:semiHidden/>
    <w:rsid w:val="008160F7"/>
    <w:rPr>
      <w:rFonts w:ascii="Tahoma" w:hAnsi="Tahoma" w:cs="Tahoma"/>
      <w:sz w:val="16"/>
      <w:szCs w:val="16"/>
    </w:rPr>
  </w:style>
  <w:style w:type="paragraph" w:customStyle="1" w:styleId="address">
    <w:name w:val="address"/>
    <w:basedOn w:val="Normal"/>
    <w:rsid w:val="00D652A3"/>
    <w:rPr>
      <w:rFonts w:eastAsia="Times New Roman" w:cs="Times New Roman"/>
      <w:sz w:val="16"/>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523"/>
    <w:rPr>
      <w:color w:val="0000FF" w:themeColor="hyperlink"/>
      <w:u w:val="single"/>
    </w:rPr>
  </w:style>
  <w:style w:type="table" w:styleId="TableGrid">
    <w:name w:val="Table Grid"/>
    <w:basedOn w:val="TableNormal"/>
    <w:uiPriority w:val="59"/>
    <w:rsid w:val="00551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60F7"/>
    <w:rPr>
      <w:sz w:val="16"/>
      <w:szCs w:val="16"/>
    </w:rPr>
  </w:style>
  <w:style w:type="paragraph" w:styleId="CommentText">
    <w:name w:val="annotation text"/>
    <w:basedOn w:val="Normal"/>
    <w:link w:val="CommentTextChar"/>
    <w:uiPriority w:val="99"/>
    <w:semiHidden/>
    <w:unhideWhenUsed/>
    <w:rsid w:val="008160F7"/>
    <w:rPr>
      <w:sz w:val="20"/>
      <w:szCs w:val="20"/>
    </w:rPr>
  </w:style>
  <w:style w:type="character" w:customStyle="1" w:styleId="CommentTextChar">
    <w:name w:val="Comment Text Char"/>
    <w:basedOn w:val="DefaultParagraphFont"/>
    <w:link w:val="CommentText"/>
    <w:uiPriority w:val="99"/>
    <w:semiHidden/>
    <w:rsid w:val="008160F7"/>
    <w:rPr>
      <w:sz w:val="20"/>
      <w:szCs w:val="20"/>
    </w:rPr>
  </w:style>
  <w:style w:type="paragraph" w:styleId="CommentSubject">
    <w:name w:val="annotation subject"/>
    <w:basedOn w:val="CommentText"/>
    <w:next w:val="CommentText"/>
    <w:link w:val="CommentSubjectChar"/>
    <w:uiPriority w:val="99"/>
    <w:semiHidden/>
    <w:unhideWhenUsed/>
    <w:rsid w:val="008160F7"/>
    <w:rPr>
      <w:b/>
      <w:bCs/>
    </w:rPr>
  </w:style>
  <w:style w:type="character" w:customStyle="1" w:styleId="CommentSubjectChar">
    <w:name w:val="Comment Subject Char"/>
    <w:basedOn w:val="CommentTextChar"/>
    <w:link w:val="CommentSubject"/>
    <w:uiPriority w:val="99"/>
    <w:semiHidden/>
    <w:rsid w:val="008160F7"/>
    <w:rPr>
      <w:b/>
      <w:bCs/>
      <w:sz w:val="20"/>
      <w:szCs w:val="20"/>
    </w:rPr>
  </w:style>
  <w:style w:type="paragraph" w:styleId="BalloonText">
    <w:name w:val="Balloon Text"/>
    <w:basedOn w:val="Normal"/>
    <w:link w:val="BalloonTextChar"/>
    <w:uiPriority w:val="99"/>
    <w:semiHidden/>
    <w:unhideWhenUsed/>
    <w:rsid w:val="008160F7"/>
    <w:rPr>
      <w:rFonts w:ascii="Tahoma" w:hAnsi="Tahoma" w:cs="Tahoma"/>
      <w:sz w:val="16"/>
      <w:szCs w:val="16"/>
    </w:rPr>
  </w:style>
  <w:style w:type="character" w:customStyle="1" w:styleId="BalloonTextChar">
    <w:name w:val="Balloon Text Char"/>
    <w:basedOn w:val="DefaultParagraphFont"/>
    <w:link w:val="BalloonText"/>
    <w:uiPriority w:val="99"/>
    <w:semiHidden/>
    <w:rsid w:val="008160F7"/>
    <w:rPr>
      <w:rFonts w:ascii="Tahoma" w:hAnsi="Tahoma" w:cs="Tahoma"/>
      <w:sz w:val="16"/>
      <w:szCs w:val="16"/>
    </w:rPr>
  </w:style>
  <w:style w:type="paragraph" w:customStyle="1" w:styleId="address">
    <w:name w:val="address"/>
    <w:basedOn w:val="Normal"/>
    <w:rsid w:val="00D652A3"/>
    <w:rPr>
      <w:rFonts w:eastAsia="Times New Roman" w:cs="Times New Roman"/>
      <w:sz w:val="16"/>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abledstudentsallowances@bis.gsi.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MHupdates@dsa-qag.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671</Words>
  <Characters>3827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Underwood Elaine (HE)</dc:creator>
  <cp:lastModifiedBy>Underwood Elaine (HE)</cp:lastModifiedBy>
  <cp:revision>2</cp:revision>
  <dcterms:created xsi:type="dcterms:W3CDTF">2016-07-01T17:43:00Z</dcterms:created>
  <dcterms:modified xsi:type="dcterms:W3CDTF">2016-07-01T17:43:00Z</dcterms:modified>
</cp:coreProperties>
</file>