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62357" w14:textId="77777777" w:rsidR="00962416" w:rsidRDefault="002F09EF" w:rsidP="00962416">
      <w:pPr>
        <w:pStyle w:val="BodyA"/>
        <w:jc w:val="center"/>
        <w:rPr>
          <w:rFonts w:ascii="Arial" w:hAnsi="Arial" w:cs="Arial"/>
          <w:b/>
          <w:color w:val="00B398"/>
          <w:sz w:val="36"/>
          <w:szCs w:val="36"/>
        </w:rPr>
      </w:pPr>
      <w:r w:rsidRPr="00E20AD3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FFBA08F" wp14:editId="0574803C">
            <wp:simplePos x="0" y="0"/>
            <wp:positionH relativeFrom="column">
              <wp:posOffset>2146935</wp:posOffset>
            </wp:positionH>
            <wp:positionV relativeFrom="paragraph">
              <wp:posOffset>-15240</wp:posOffset>
            </wp:positionV>
            <wp:extent cx="2200275" cy="880110"/>
            <wp:effectExtent l="0" t="0" r="9525" b="0"/>
            <wp:wrapTight wrapText="bothSides">
              <wp:wrapPolygon edited="0">
                <wp:start x="0" y="0"/>
                <wp:lineTo x="0" y="21039"/>
                <wp:lineTo x="21506" y="21039"/>
                <wp:lineTo x="2150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N ne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556B0" w14:textId="77777777" w:rsidR="00962416" w:rsidRDefault="00962416" w:rsidP="00962416">
      <w:pPr>
        <w:pStyle w:val="BodyA"/>
        <w:jc w:val="center"/>
        <w:rPr>
          <w:rFonts w:ascii="Arial" w:hAnsi="Arial" w:cs="Arial"/>
          <w:b/>
          <w:color w:val="00B398"/>
          <w:sz w:val="36"/>
          <w:szCs w:val="36"/>
        </w:rPr>
      </w:pPr>
    </w:p>
    <w:p w14:paraId="7ACB760D" w14:textId="77777777" w:rsidR="00962416" w:rsidRDefault="00962416" w:rsidP="00962416">
      <w:pPr>
        <w:pStyle w:val="BodyA"/>
        <w:jc w:val="center"/>
        <w:rPr>
          <w:rFonts w:ascii="Arial" w:hAnsi="Arial" w:cs="Arial"/>
          <w:b/>
          <w:color w:val="00B398"/>
          <w:sz w:val="36"/>
          <w:szCs w:val="36"/>
        </w:rPr>
      </w:pPr>
    </w:p>
    <w:p w14:paraId="6A7CC1F0" w14:textId="77777777" w:rsidR="00962416" w:rsidRDefault="00962416" w:rsidP="00962416">
      <w:pPr>
        <w:pStyle w:val="BodyA"/>
        <w:jc w:val="center"/>
        <w:rPr>
          <w:rFonts w:ascii="Arial" w:hAnsi="Arial" w:cs="Arial"/>
          <w:b/>
          <w:color w:val="00B398"/>
          <w:sz w:val="36"/>
          <w:szCs w:val="36"/>
        </w:rPr>
      </w:pPr>
    </w:p>
    <w:p w14:paraId="34A1FC1C" w14:textId="573DCA3A" w:rsidR="002F09EF" w:rsidRPr="00962416" w:rsidRDefault="002F09EF" w:rsidP="00962416">
      <w:pPr>
        <w:pStyle w:val="BodyA"/>
        <w:jc w:val="center"/>
        <w:rPr>
          <w:rFonts w:ascii="Calibri" w:hAnsi="Calibri"/>
          <w:b/>
          <w:bCs/>
          <w:color w:val="0096FF"/>
          <w:sz w:val="28"/>
          <w:szCs w:val="28"/>
          <w:u w:color="0096FF"/>
        </w:rPr>
      </w:pPr>
      <w:r w:rsidRPr="00962416">
        <w:rPr>
          <w:rFonts w:ascii="Arial" w:hAnsi="Arial" w:cs="Arial"/>
          <w:b/>
          <w:color w:val="00B398"/>
          <w:sz w:val="28"/>
          <w:szCs w:val="28"/>
        </w:rPr>
        <w:t xml:space="preserve">BEYOND THE FRONT DOOR: What ‘home’ means to people with </w:t>
      </w:r>
      <w:r w:rsidR="00962416">
        <w:rPr>
          <w:rFonts w:ascii="Arial" w:hAnsi="Arial" w:cs="Arial"/>
          <w:b/>
          <w:color w:val="00B398"/>
          <w:sz w:val="28"/>
          <w:szCs w:val="28"/>
        </w:rPr>
        <w:br/>
      </w:r>
      <w:r w:rsidRPr="00962416">
        <w:rPr>
          <w:rFonts w:ascii="Arial" w:hAnsi="Arial" w:cs="Arial"/>
          <w:b/>
          <w:color w:val="00B398"/>
          <w:sz w:val="28"/>
          <w:szCs w:val="28"/>
        </w:rPr>
        <w:t xml:space="preserve">dementia and their </w:t>
      </w:r>
      <w:proofErr w:type="spellStart"/>
      <w:r w:rsidRPr="00962416">
        <w:rPr>
          <w:rFonts w:ascii="Arial" w:hAnsi="Arial" w:cs="Arial"/>
          <w:b/>
          <w:color w:val="00B398"/>
          <w:sz w:val="28"/>
          <w:szCs w:val="28"/>
        </w:rPr>
        <w:t>ca</w:t>
      </w:r>
      <w:r w:rsidRPr="00962416">
        <w:rPr>
          <w:rFonts w:ascii="Arial" w:hAnsi="Arial" w:cs="Arial"/>
          <w:b/>
          <w:color w:val="00B398"/>
          <w:sz w:val="28"/>
          <w:szCs w:val="28"/>
        </w:rPr>
        <w:t>r</w:t>
      </w:r>
      <w:r w:rsidRPr="00962416">
        <w:rPr>
          <w:rFonts w:ascii="Arial" w:hAnsi="Arial" w:cs="Arial"/>
          <w:b/>
          <w:color w:val="00B398"/>
          <w:sz w:val="28"/>
          <w:szCs w:val="28"/>
        </w:rPr>
        <w:t>ers</w:t>
      </w:r>
      <w:proofErr w:type="spellEnd"/>
    </w:p>
    <w:p w14:paraId="696288B7" w14:textId="77777777" w:rsidR="002F09EF" w:rsidRPr="00962416" w:rsidRDefault="002F09EF" w:rsidP="002F09EF">
      <w:pPr>
        <w:jc w:val="center"/>
        <w:rPr>
          <w:rFonts w:ascii="Arial" w:hAnsi="Arial" w:cs="Arial"/>
          <w:b/>
          <w:color w:val="007A33"/>
        </w:rPr>
      </w:pPr>
    </w:p>
    <w:p w14:paraId="79A0A158" w14:textId="7883EB7C" w:rsidR="002F09EF" w:rsidRDefault="002F09EF" w:rsidP="00962416">
      <w:pPr>
        <w:jc w:val="center"/>
        <w:rPr>
          <w:rFonts w:ascii="Arial" w:hAnsi="Arial" w:cs="Arial"/>
          <w:b/>
          <w:color w:val="007A33"/>
        </w:rPr>
      </w:pPr>
      <w:r w:rsidRPr="00962416">
        <w:rPr>
          <w:rFonts w:ascii="Arial" w:hAnsi="Arial" w:cs="Arial"/>
          <w:b/>
          <w:color w:val="007A33"/>
        </w:rPr>
        <w:t>Top Tips for social care assessors to support positive transitions for people with dementia</w:t>
      </w:r>
    </w:p>
    <w:p w14:paraId="7253C5BE" w14:textId="77777777" w:rsidR="00962416" w:rsidRPr="00962416" w:rsidRDefault="00962416" w:rsidP="00962416">
      <w:pPr>
        <w:jc w:val="center"/>
        <w:rPr>
          <w:rFonts w:ascii="Arial" w:hAnsi="Arial" w:cs="Arial"/>
          <w:b/>
          <w:color w:val="007A33"/>
        </w:rPr>
      </w:pPr>
    </w:p>
    <w:p w14:paraId="4E4FF4B0" w14:textId="77777777" w:rsidR="00F6178F" w:rsidRPr="002F09EF" w:rsidRDefault="00F6178F">
      <w:pPr>
        <w:pStyle w:val="BodyA"/>
        <w:rPr>
          <w:rFonts w:ascii="Arial" w:hAnsi="Arial" w:cs="Arial"/>
          <w:sz w:val="24"/>
          <w:szCs w:val="24"/>
        </w:rPr>
      </w:pPr>
    </w:p>
    <w:p w14:paraId="6C6AD023" w14:textId="77EDDAC5" w:rsidR="00F6178F" w:rsidRPr="00962416" w:rsidRDefault="00BC020D">
      <w:pPr>
        <w:pStyle w:val="Body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962416">
        <w:rPr>
          <w:rFonts w:ascii="Arial" w:hAnsi="Arial" w:cs="Arial"/>
          <w:b/>
          <w:color w:val="6A3C5E"/>
          <w:sz w:val="20"/>
          <w:szCs w:val="20"/>
          <w:u w:color="0096FF"/>
        </w:rPr>
        <w:t>Recognise</w:t>
      </w:r>
      <w:proofErr w:type="spellEnd"/>
      <w:r w:rsidRPr="00962416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 the importance of self worth and a strong sense of identity</w:t>
      </w:r>
      <w:r w:rsidRPr="00962416">
        <w:rPr>
          <w:rFonts w:ascii="Arial" w:hAnsi="Arial" w:cs="Arial"/>
          <w:color w:val="0096FF"/>
          <w:sz w:val="20"/>
          <w:szCs w:val="20"/>
          <w:u w:color="0096FF"/>
        </w:rPr>
        <w:t xml:space="preserve"> </w:t>
      </w:r>
      <w:r w:rsidRPr="00962416">
        <w:rPr>
          <w:rFonts w:ascii="Arial" w:hAnsi="Arial" w:cs="Arial"/>
          <w:sz w:val="20"/>
          <w:szCs w:val="20"/>
        </w:rPr>
        <w:t>for an ind</w:t>
      </w:r>
      <w:r w:rsidRPr="00962416">
        <w:rPr>
          <w:rFonts w:ascii="Arial" w:hAnsi="Arial" w:cs="Arial"/>
          <w:sz w:val="20"/>
          <w:szCs w:val="20"/>
        </w:rPr>
        <w:t>i</w:t>
      </w:r>
      <w:r w:rsidRPr="00962416">
        <w:rPr>
          <w:rFonts w:ascii="Arial" w:hAnsi="Arial" w:cs="Arial"/>
          <w:sz w:val="20"/>
          <w:szCs w:val="20"/>
        </w:rPr>
        <w:t xml:space="preserve">vidual with dementia and the impact on their well-being. </w:t>
      </w:r>
    </w:p>
    <w:p w14:paraId="0306557C" w14:textId="77777777" w:rsidR="002F09EF" w:rsidRPr="00962416" w:rsidRDefault="002F09EF" w:rsidP="002F09EF">
      <w:pPr>
        <w:pStyle w:val="BodyA"/>
        <w:ind w:left="229"/>
        <w:rPr>
          <w:rFonts w:ascii="Arial" w:hAnsi="Arial" w:cs="Arial"/>
          <w:sz w:val="20"/>
          <w:szCs w:val="20"/>
        </w:rPr>
      </w:pPr>
    </w:p>
    <w:p w14:paraId="58BFC480" w14:textId="7AEEB8F7" w:rsidR="00F6178F" w:rsidRPr="00962416" w:rsidRDefault="00BC020D">
      <w:pPr>
        <w:pStyle w:val="Body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2416">
        <w:rPr>
          <w:rFonts w:ascii="Arial" w:hAnsi="Arial" w:cs="Arial"/>
          <w:b/>
          <w:color w:val="6A3C5E"/>
          <w:sz w:val="20"/>
          <w:szCs w:val="20"/>
          <w:u w:color="0096FF"/>
        </w:rPr>
        <w:t>Home is a place of strong attachments</w:t>
      </w:r>
      <w:r w:rsidRPr="00962416">
        <w:rPr>
          <w:rFonts w:ascii="Arial" w:hAnsi="Arial" w:cs="Arial"/>
          <w:color w:val="6A3C5E"/>
          <w:sz w:val="20"/>
          <w:szCs w:val="20"/>
          <w:u w:color="0096FF"/>
        </w:rPr>
        <w:t xml:space="preserve"> </w:t>
      </w:r>
      <w:r w:rsidRPr="00962416">
        <w:rPr>
          <w:rFonts w:ascii="Arial" w:hAnsi="Arial" w:cs="Arial"/>
          <w:sz w:val="20"/>
          <w:szCs w:val="20"/>
        </w:rPr>
        <w:t>- to people, place and objects. These mem</w:t>
      </w:r>
      <w:r w:rsidRPr="00962416">
        <w:rPr>
          <w:rFonts w:ascii="Arial" w:hAnsi="Arial" w:cs="Arial"/>
          <w:sz w:val="20"/>
          <w:szCs w:val="20"/>
        </w:rPr>
        <w:t>o</w:t>
      </w:r>
      <w:r w:rsidRPr="00962416">
        <w:rPr>
          <w:rFonts w:ascii="Arial" w:hAnsi="Arial" w:cs="Arial"/>
          <w:sz w:val="20"/>
          <w:szCs w:val="20"/>
        </w:rPr>
        <w:t>ries are part of the person and their reality. Try to understand the particular significance of ‘home’ in assessing and planning for individu</w:t>
      </w:r>
      <w:r w:rsidR="002F09EF" w:rsidRPr="00962416">
        <w:rPr>
          <w:rFonts w:ascii="Arial" w:hAnsi="Arial" w:cs="Arial"/>
          <w:sz w:val="20"/>
          <w:szCs w:val="20"/>
        </w:rPr>
        <w:t>als.</w:t>
      </w:r>
    </w:p>
    <w:p w14:paraId="52CCA69D" w14:textId="77777777" w:rsidR="002F09EF" w:rsidRPr="00962416" w:rsidRDefault="002F09EF" w:rsidP="002F09EF">
      <w:pPr>
        <w:pStyle w:val="BodyA"/>
        <w:rPr>
          <w:rFonts w:ascii="Arial" w:hAnsi="Arial" w:cs="Arial"/>
          <w:sz w:val="20"/>
          <w:szCs w:val="20"/>
        </w:rPr>
      </w:pPr>
    </w:p>
    <w:p w14:paraId="39EAD5D3" w14:textId="333AD03F" w:rsidR="003D7536" w:rsidRPr="00962416" w:rsidRDefault="003D7536">
      <w:pPr>
        <w:pStyle w:val="Body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2416">
        <w:rPr>
          <w:rFonts w:ascii="Arial" w:hAnsi="Arial" w:cs="Arial"/>
          <w:b/>
          <w:color w:val="6A3C5E"/>
          <w:sz w:val="20"/>
          <w:szCs w:val="20"/>
        </w:rPr>
        <w:t xml:space="preserve">Involve family </w:t>
      </w:r>
      <w:proofErr w:type="spellStart"/>
      <w:r w:rsidRPr="00962416">
        <w:rPr>
          <w:rFonts w:ascii="Arial" w:hAnsi="Arial" w:cs="Arial"/>
          <w:b/>
          <w:color w:val="6A3C5E"/>
          <w:sz w:val="20"/>
          <w:szCs w:val="20"/>
        </w:rPr>
        <w:t>carers</w:t>
      </w:r>
      <w:proofErr w:type="spellEnd"/>
      <w:r w:rsidRPr="00962416">
        <w:rPr>
          <w:rFonts w:ascii="Arial" w:hAnsi="Arial" w:cs="Arial"/>
          <w:b/>
          <w:color w:val="6A3C5E"/>
          <w:sz w:val="20"/>
          <w:szCs w:val="20"/>
        </w:rPr>
        <w:t xml:space="preserve"> as equal partners in discussions and decision making:</w:t>
      </w:r>
      <w:r w:rsidRPr="00962416">
        <w:rPr>
          <w:rFonts w:ascii="Arial" w:hAnsi="Arial" w:cs="Arial"/>
          <w:color w:val="6A3C5E"/>
          <w:sz w:val="20"/>
          <w:szCs w:val="20"/>
        </w:rPr>
        <w:t xml:space="preserve"> </w:t>
      </w:r>
      <w:r w:rsidRPr="00962416">
        <w:rPr>
          <w:rFonts w:ascii="Arial" w:hAnsi="Arial" w:cs="Arial"/>
          <w:color w:val="auto"/>
          <w:sz w:val="20"/>
          <w:szCs w:val="20"/>
        </w:rPr>
        <w:t>they probably know the person better than anyone else and are experts in their care</w:t>
      </w:r>
      <w:r w:rsidR="002F09EF" w:rsidRPr="00962416">
        <w:rPr>
          <w:rFonts w:ascii="Arial" w:hAnsi="Arial" w:cs="Arial"/>
          <w:sz w:val="20"/>
          <w:szCs w:val="20"/>
        </w:rPr>
        <w:t>.</w:t>
      </w:r>
    </w:p>
    <w:p w14:paraId="05943968" w14:textId="77777777" w:rsidR="002F09EF" w:rsidRPr="00962416" w:rsidRDefault="002F09EF" w:rsidP="002F09EF">
      <w:pPr>
        <w:pStyle w:val="BodyA"/>
        <w:rPr>
          <w:rFonts w:ascii="Arial" w:hAnsi="Arial" w:cs="Arial"/>
          <w:sz w:val="20"/>
          <w:szCs w:val="20"/>
        </w:rPr>
      </w:pPr>
    </w:p>
    <w:p w14:paraId="4FE25105" w14:textId="12D60775" w:rsidR="00F6178F" w:rsidRPr="00962416" w:rsidRDefault="00BC020D" w:rsidP="002F09EF">
      <w:pPr>
        <w:pStyle w:val="Body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2416">
        <w:rPr>
          <w:rFonts w:ascii="Arial" w:hAnsi="Arial" w:cs="Arial"/>
          <w:b/>
          <w:color w:val="6A3C5E"/>
          <w:sz w:val="20"/>
          <w:szCs w:val="20"/>
          <w:u w:color="0096FF"/>
        </w:rPr>
        <w:t>People with dementia continue to feel things strongly and have opinions</w:t>
      </w:r>
      <w:r w:rsidR="003D7536" w:rsidRPr="00962416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 about what they want</w:t>
      </w:r>
      <w:r w:rsidR="007E435E" w:rsidRPr="00962416">
        <w:rPr>
          <w:rFonts w:ascii="Arial" w:hAnsi="Arial" w:cs="Arial"/>
          <w:color w:val="6A3C5E"/>
          <w:sz w:val="20"/>
          <w:szCs w:val="20"/>
        </w:rPr>
        <w:t xml:space="preserve"> </w:t>
      </w:r>
      <w:r w:rsidR="003D7536" w:rsidRPr="00962416">
        <w:rPr>
          <w:rFonts w:ascii="Arial" w:hAnsi="Arial" w:cs="Arial"/>
          <w:sz w:val="20"/>
          <w:szCs w:val="20"/>
        </w:rPr>
        <w:t>A</w:t>
      </w:r>
      <w:r w:rsidR="003D7536" w:rsidRPr="00962416">
        <w:rPr>
          <w:rFonts w:ascii="Arial" w:hAnsi="Arial" w:cs="Arial"/>
          <w:sz w:val="20"/>
          <w:szCs w:val="20"/>
        </w:rPr>
        <w:t>s</w:t>
      </w:r>
      <w:r w:rsidR="003D7536" w:rsidRPr="00962416">
        <w:rPr>
          <w:rFonts w:ascii="Arial" w:hAnsi="Arial" w:cs="Arial"/>
          <w:sz w:val="20"/>
          <w:szCs w:val="20"/>
        </w:rPr>
        <w:t>sume t</w:t>
      </w:r>
      <w:r w:rsidR="007E435E" w:rsidRPr="00962416">
        <w:rPr>
          <w:rFonts w:ascii="Arial" w:hAnsi="Arial" w:cs="Arial"/>
          <w:sz w:val="20"/>
          <w:szCs w:val="20"/>
        </w:rPr>
        <w:t>heir capacity</w:t>
      </w:r>
      <w:r w:rsidRPr="00962416">
        <w:rPr>
          <w:rFonts w:ascii="Arial" w:hAnsi="Arial" w:cs="Arial"/>
          <w:sz w:val="20"/>
          <w:szCs w:val="20"/>
        </w:rPr>
        <w:t xml:space="preserve"> to participate in planning and decision making</w:t>
      </w:r>
      <w:r w:rsidR="007E435E" w:rsidRPr="00962416">
        <w:rPr>
          <w:rFonts w:ascii="Arial" w:hAnsi="Arial" w:cs="Arial"/>
          <w:sz w:val="20"/>
          <w:szCs w:val="20"/>
        </w:rPr>
        <w:t>,</w:t>
      </w:r>
      <w:r w:rsidRPr="00962416">
        <w:rPr>
          <w:rFonts w:ascii="Arial" w:hAnsi="Arial" w:cs="Arial"/>
          <w:sz w:val="20"/>
          <w:szCs w:val="20"/>
        </w:rPr>
        <w:t xml:space="preserve"> unless assessed otherwise </w:t>
      </w:r>
      <w:r w:rsidR="007E435E" w:rsidRPr="00962416">
        <w:rPr>
          <w:rFonts w:ascii="Arial" w:hAnsi="Arial" w:cs="Arial"/>
          <w:sz w:val="20"/>
          <w:szCs w:val="20"/>
        </w:rPr>
        <w:t>and re</w:t>
      </w:r>
      <w:r w:rsidR="007E435E" w:rsidRPr="00962416">
        <w:rPr>
          <w:rFonts w:ascii="Arial" w:hAnsi="Arial" w:cs="Arial"/>
          <w:sz w:val="20"/>
          <w:szCs w:val="20"/>
        </w:rPr>
        <w:t>c</w:t>
      </w:r>
      <w:r w:rsidR="007E435E" w:rsidRPr="00962416">
        <w:rPr>
          <w:rFonts w:ascii="Arial" w:hAnsi="Arial" w:cs="Arial"/>
          <w:sz w:val="20"/>
          <w:szCs w:val="20"/>
        </w:rPr>
        <w:t xml:space="preserve">orded </w:t>
      </w:r>
      <w:r w:rsidRPr="00962416">
        <w:rPr>
          <w:rFonts w:ascii="Arial" w:hAnsi="Arial" w:cs="Arial"/>
          <w:sz w:val="20"/>
          <w:szCs w:val="20"/>
        </w:rPr>
        <w:t xml:space="preserve">under the MCA. Enable people with dementia to have </w:t>
      </w:r>
      <w:r w:rsidR="007E435E" w:rsidRPr="00962416">
        <w:rPr>
          <w:rFonts w:ascii="Arial" w:hAnsi="Arial" w:cs="Arial"/>
          <w:sz w:val="20"/>
          <w:szCs w:val="20"/>
        </w:rPr>
        <w:t xml:space="preserve">as much </w:t>
      </w:r>
      <w:r w:rsidRPr="00962416">
        <w:rPr>
          <w:rFonts w:ascii="Arial" w:hAnsi="Arial" w:cs="Arial"/>
          <w:sz w:val="20"/>
          <w:szCs w:val="20"/>
        </w:rPr>
        <w:t>control</w:t>
      </w:r>
      <w:r w:rsidR="007E435E" w:rsidRPr="00962416">
        <w:rPr>
          <w:rFonts w:ascii="Arial" w:hAnsi="Arial" w:cs="Arial"/>
          <w:sz w:val="20"/>
          <w:szCs w:val="20"/>
        </w:rPr>
        <w:t xml:space="preserve"> as possible</w:t>
      </w:r>
      <w:r w:rsidRPr="00962416">
        <w:rPr>
          <w:rFonts w:ascii="Arial" w:hAnsi="Arial" w:cs="Arial"/>
          <w:sz w:val="20"/>
          <w:szCs w:val="20"/>
        </w:rPr>
        <w:t xml:space="preserve"> in planning and decision-making and understand their circumstances</w:t>
      </w:r>
      <w:r w:rsidR="003D7536" w:rsidRPr="00962416">
        <w:rPr>
          <w:rFonts w:ascii="Arial" w:hAnsi="Arial" w:cs="Arial"/>
          <w:sz w:val="20"/>
          <w:szCs w:val="20"/>
        </w:rPr>
        <w:t xml:space="preserve">. Involve family </w:t>
      </w:r>
      <w:proofErr w:type="spellStart"/>
      <w:r w:rsidR="003D7536" w:rsidRPr="00962416">
        <w:rPr>
          <w:rFonts w:ascii="Arial" w:hAnsi="Arial" w:cs="Arial"/>
          <w:sz w:val="20"/>
          <w:szCs w:val="20"/>
        </w:rPr>
        <w:t>carers</w:t>
      </w:r>
      <w:proofErr w:type="spellEnd"/>
      <w:r w:rsidR="003D7536" w:rsidRPr="00962416">
        <w:rPr>
          <w:rFonts w:ascii="Arial" w:hAnsi="Arial" w:cs="Arial"/>
          <w:sz w:val="20"/>
          <w:szCs w:val="20"/>
        </w:rPr>
        <w:t xml:space="preserve">, friends and others who know them in Best </w:t>
      </w:r>
      <w:r w:rsidR="002F09EF" w:rsidRPr="00962416">
        <w:rPr>
          <w:rFonts w:ascii="Arial" w:hAnsi="Arial" w:cs="Arial"/>
          <w:sz w:val="20"/>
          <w:szCs w:val="20"/>
        </w:rPr>
        <w:t xml:space="preserve">  </w:t>
      </w:r>
      <w:r w:rsidR="003D7536" w:rsidRPr="00962416">
        <w:rPr>
          <w:rFonts w:ascii="Arial" w:hAnsi="Arial" w:cs="Arial"/>
          <w:sz w:val="20"/>
          <w:szCs w:val="20"/>
        </w:rPr>
        <w:t>Interest Decisions</w:t>
      </w:r>
      <w:r w:rsidR="002F09EF" w:rsidRPr="00962416">
        <w:rPr>
          <w:rFonts w:ascii="Arial" w:hAnsi="Arial" w:cs="Arial"/>
          <w:sz w:val="20"/>
          <w:szCs w:val="20"/>
        </w:rPr>
        <w:t>.</w:t>
      </w:r>
    </w:p>
    <w:p w14:paraId="5873928B" w14:textId="77777777" w:rsidR="002F09EF" w:rsidRPr="00962416" w:rsidRDefault="002F09EF" w:rsidP="002F09EF">
      <w:pPr>
        <w:pStyle w:val="BodyA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84B0396" w14:textId="6C641DF1" w:rsidR="00F6178F" w:rsidRPr="00962416" w:rsidRDefault="007E435E">
      <w:pPr>
        <w:pStyle w:val="Body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2416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Familiar </w:t>
      </w:r>
      <w:r w:rsidR="00BC020D" w:rsidRPr="00962416">
        <w:rPr>
          <w:rFonts w:ascii="Arial" w:hAnsi="Arial" w:cs="Arial"/>
          <w:b/>
          <w:color w:val="6A3C5E"/>
          <w:sz w:val="20"/>
          <w:szCs w:val="20"/>
          <w:u w:color="0096FF"/>
        </w:rPr>
        <w:t>environment</w:t>
      </w:r>
      <w:r w:rsidRPr="00962416">
        <w:rPr>
          <w:rFonts w:ascii="Arial" w:hAnsi="Arial" w:cs="Arial"/>
          <w:b/>
          <w:color w:val="6A3C5E"/>
          <w:sz w:val="20"/>
          <w:szCs w:val="20"/>
          <w:u w:color="0096FF"/>
        </w:rPr>
        <w:t>s</w:t>
      </w:r>
      <w:r w:rsidRPr="00962416">
        <w:rPr>
          <w:rFonts w:ascii="Arial" w:hAnsi="Arial" w:cs="Arial"/>
          <w:color w:val="6A3C5E"/>
          <w:sz w:val="20"/>
          <w:szCs w:val="20"/>
        </w:rPr>
        <w:t xml:space="preserve"> </w:t>
      </w:r>
      <w:r w:rsidRPr="00962416">
        <w:rPr>
          <w:rFonts w:ascii="Arial" w:hAnsi="Arial" w:cs="Arial"/>
          <w:sz w:val="20"/>
          <w:szCs w:val="20"/>
        </w:rPr>
        <w:t>and surroundings enable</w:t>
      </w:r>
      <w:r w:rsidR="00BC020D" w:rsidRPr="00962416">
        <w:rPr>
          <w:rFonts w:ascii="Arial" w:hAnsi="Arial" w:cs="Arial"/>
          <w:sz w:val="20"/>
          <w:szCs w:val="20"/>
        </w:rPr>
        <w:t xml:space="preserve"> people with dementia to retain a sense of who they are for longer. Care at home can enable safer and more independent living and paid </w:t>
      </w:r>
      <w:proofErr w:type="spellStart"/>
      <w:r w:rsidR="00BC020D" w:rsidRPr="00962416">
        <w:rPr>
          <w:rFonts w:ascii="Arial" w:hAnsi="Arial" w:cs="Arial"/>
          <w:sz w:val="20"/>
          <w:szCs w:val="20"/>
        </w:rPr>
        <w:t>carers</w:t>
      </w:r>
      <w:proofErr w:type="spellEnd"/>
      <w:r w:rsidR="00BC020D" w:rsidRPr="00962416">
        <w:rPr>
          <w:rFonts w:ascii="Arial" w:hAnsi="Arial" w:cs="Arial"/>
          <w:sz w:val="20"/>
          <w:szCs w:val="20"/>
        </w:rPr>
        <w:t xml:space="preserve"> can develop knowledge about </w:t>
      </w:r>
      <w:r w:rsidRPr="00962416">
        <w:rPr>
          <w:rFonts w:ascii="Arial" w:hAnsi="Arial" w:cs="Arial"/>
          <w:sz w:val="20"/>
          <w:szCs w:val="20"/>
        </w:rPr>
        <w:t xml:space="preserve">an </w:t>
      </w:r>
      <w:r w:rsidR="00BC020D" w:rsidRPr="00962416">
        <w:rPr>
          <w:rFonts w:ascii="Arial" w:hAnsi="Arial" w:cs="Arial"/>
          <w:sz w:val="20"/>
          <w:szCs w:val="20"/>
        </w:rPr>
        <w:t>individual</w:t>
      </w:r>
      <w:r w:rsidRPr="00962416">
        <w:rPr>
          <w:rFonts w:ascii="Arial" w:hAnsi="Arial" w:cs="Arial"/>
          <w:sz w:val="20"/>
          <w:szCs w:val="20"/>
        </w:rPr>
        <w:t>’</w:t>
      </w:r>
      <w:r w:rsidR="00BC020D" w:rsidRPr="00962416">
        <w:rPr>
          <w:rFonts w:ascii="Arial" w:hAnsi="Arial" w:cs="Arial"/>
          <w:sz w:val="20"/>
          <w:szCs w:val="20"/>
        </w:rPr>
        <w:t>s life skills, abilities and ambitions</w:t>
      </w:r>
      <w:r w:rsidR="002F09EF" w:rsidRPr="00962416">
        <w:rPr>
          <w:rFonts w:ascii="Arial" w:hAnsi="Arial" w:cs="Arial"/>
          <w:sz w:val="20"/>
          <w:szCs w:val="20"/>
        </w:rPr>
        <w:t>.</w:t>
      </w:r>
    </w:p>
    <w:p w14:paraId="569D521E" w14:textId="77777777" w:rsidR="002F09EF" w:rsidRPr="00962416" w:rsidRDefault="002F09EF" w:rsidP="002F09EF">
      <w:pPr>
        <w:pStyle w:val="BodyA"/>
        <w:rPr>
          <w:rFonts w:ascii="Arial" w:hAnsi="Arial" w:cs="Arial"/>
          <w:sz w:val="20"/>
          <w:szCs w:val="20"/>
        </w:rPr>
      </w:pPr>
    </w:p>
    <w:p w14:paraId="30D55202" w14:textId="37E8C9AE" w:rsidR="00F6178F" w:rsidRPr="00962416" w:rsidRDefault="00BC020D">
      <w:pPr>
        <w:pStyle w:val="Body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2416">
        <w:rPr>
          <w:rFonts w:ascii="Arial" w:hAnsi="Arial" w:cs="Arial"/>
          <w:b/>
          <w:color w:val="6A3C5E"/>
          <w:sz w:val="20"/>
          <w:szCs w:val="20"/>
        </w:rPr>
        <w:t>Dementia friendly and accessible information</w:t>
      </w:r>
      <w:r w:rsidR="007E435E" w:rsidRPr="00962416">
        <w:rPr>
          <w:rFonts w:ascii="Arial" w:hAnsi="Arial" w:cs="Arial"/>
          <w:color w:val="6A3C5E"/>
          <w:sz w:val="20"/>
          <w:szCs w:val="20"/>
        </w:rPr>
        <w:t xml:space="preserve"> </w:t>
      </w:r>
      <w:r w:rsidR="007E435E" w:rsidRPr="00962416">
        <w:rPr>
          <w:rFonts w:ascii="Arial" w:hAnsi="Arial" w:cs="Arial"/>
          <w:sz w:val="20"/>
          <w:szCs w:val="20"/>
        </w:rPr>
        <w:t>on housing options is</w:t>
      </w:r>
      <w:r w:rsidRPr="00962416">
        <w:rPr>
          <w:rFonts w:ascii="Arial" w:hAnsi="Arial" w:cs="Arial"/>
          <w:sz w:val="20"/>
          <w:szCs w:val="20"/>
        </w:rPr>
        <w:t xml:space="preserve"> key to supporting people with ma</w:t>
      </w:r>
      <w:r w:rsidRPr="00962416">
        <w:rPr>
          <w:rFonts w:ascii="Arial" w:hAnsi="Arial" w:cs="Arial"/>
          <w:sz w:val="20"/>
          <w:szCs w:val="20"/>
        </w:rPr>
        <w:t>k</w:t>
      </w:r>
      <w:r w:rsidRPr="00962416">
        <w:rPr>
          <w:rFonts w:ascii="Arial" w:hAnsi="Arial" w:cs="Arial"/>
          <w:sz w:val="20"/>
          <w:szCs w:val="20"/>
        </w:rPr>
        <w:t>ing choices</w:t>
      </w:r>
      <w:r w:rsidR="007E435E" w:rsidRPr="00962416">
        <w:rPr>
          <w:rFonts w:ascii="Arial" w:hAnsi="Arial" w:cs="Arial"/>
          <w:sz w:val="20"/>
          <w:szCs w:val="20"/>
        </w:rPr>
        <w:t>. This includes group living, sheltered housing and Extra Care housing, adaptations, grants and other fund</w:t>
      </w:r>
      <w:r w:rsidR="002F09EF" w:rsidRPr="00962416">
        <w:rPr>
          <w:rFonts w:ascii="Arial" w:hAnsi="Arial" w:cs="Arial"/>
          <w:sz w:val="20"/>
          <w:szCs w:val="20"/>
        </w:rPr>
        <w:t>ing advice.</w:t>
      </w:r>
    </w:p>
    <w:p w14:paraId="0A85B22B" w14:textId="77777777" w:rsidR="002F09EF" w:rsidRPr="00962416" w:rsidRDefault="002F09EF" w:rsidP="002F09EF">
      <w:pPr>
        <w:pStyle w:val="BodyA"/>
        <w:rPr>
          <w:rFonts w:ascii="Arial" w:hAnsi="Arial" w:cs="Arial"/>
          <w:sz w:val="20"/>
          <w:szCs w:val="20"/>
        </w:rPr>
      </w:pPr>
    </w:p>
    <w:p w14:paraId="02B7D944" w14:textId="788DD832" w:rsidR="00F6178F" w:rsidRPr="00962416" w:rsidRDefault="00BC020D">
      <w:pPr>
        <w:pStyle w:val="Body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2416">
        <w:rPr>
          <w:rFonts w:ascii="Arial" w:hAnsi="Arial" w:cs="Arial"/>
          <w:b/>
          <w:color w:val="6A3C5E"/>
          <w:sz w:val="20"/>
          <w:szCs w:val="20"/>
          <w:u w:color="0096FF"/>
        </w:rPr>
        <w:t>An outcome focused approach</w:t>
      </w:r>
      <w:r w:rsidRPr="00962416">
        <w:rPr>
          <w:rFonts w:ascii="Arial" w:hAnsi="Arial" w:cs="Arial"/>
          <w:color w:val="6A3C5E"/>
          <w:sz w:val="20"/>
          <w:szCs w:val="20"/>
        </w:rPr>
        <w:t xml:space="preserve"> </w:t>
      </w:r>
      <w:r w:rsidRPr="00962416">
        <w:rPr>
          <w:rFonts w:ascii="Arial" w:hAnsi="Arial" w:cs="Arial"/>
          <w:sz w:val="20"/>
          <w:szCs w:val="20"/>
        </w:rPr>
        <w:t>includes choice</w:t>
      </w:r>
      <w:r w:rsidR="007E435E" w:rsidRPr="00962416">
        <w:rPr>
          <w:rFonts w:ascii="Arial" w:hAnsi="Arial" w:cs="Arial"/>
          <w:sz w:val="20"/>
          <w:szCs w:val="20"/>
        </w:rPr>
        <w:t>s</w:t>
      </w:r>
      <w:r w:rsidRPr="00962416">
        <w:rPr>
          <w:rFonts w:ascii="Arial" w:hAnsi="Arial" w:cs="Arial"/>
          <w:sz w:val="20"/>
          <w:szCs w:val="20"/>
        </w:rPr>
        <w:t xml:space="preserve"> and aspirations as well as needs.</w:t>
      </w:r>
    </w:p>
    <w:p w14:paraId="1540A4A6" w14:textId="77777777" w:rsidR="002F09EF" w:rsidRPr="00962416" w:rsidRDefault="002F09EF" w:rsidP="002F09EF">
      <w:pPr>
        <w:pStyle w:val="BodyA"/>
        <w:rPr>
          <w:rFonts w:ascii="Arial" w:hAnsi="Arial" w:cs="Arial"/>
          <w:sz w:val="20"/>
          <w:szCs w:val="20"/>
        </w:rPr>
      </w:pPr>
    </w:p>
    <w:p w14:paraId="6216C491" w14:textId="74ABFB02" w:rsidR="00F6178F" w:rsidRPr="00962416" w:rsidRDefault="00BC020D">
      <w:pPr>
        <w:pStyle w:val="BodyA"/>
        <w:numPr>
          <w:ilvl w:val="0"/>
          <w:numId w:val="3"/>
        </w:numPr>
        <w:rPr>
          <w:rFonts w:ascii="Arial" w:hAnsi="Arial" w:cs="Arial"/>
          <w:i/>
          <w:iCs/>
          <w:sz w:val="20"/>
          <w:szCs w:val="20"/>
        </w:rPr>
      </w:pPr>
      <w:r w:rsidRPr="00962416">
        <w:rPr>
          <w:rFonts w:ascii="Arial" w:hAnsi="Arial" w:cs="Arial"/>
          <w:b/>
          <w:color w:val="6A3C5E"/>
          <w:sz w:val="20"/>
          <w:szCs w:val="20"/>
        </w:rPr>
        <w:t>Transitions are stressful and emotional</w:t>
      </w:r>
      <w:r w:rsidRPr="00962416">
        <w:rPr>
          <w:rFonts w:ascii="Arial" w:hAnsi="Arial" w:cs="Arial"/>
          <w:color w:val="6A3C5E"/>
          <w:sz w:val="20"/>
          <w:szCs w:val="20"/>
        </w:rPr>
        <w:t xml:space="preserve"> </w:t>
      </w:r>
      <w:r w:rsidRPr="00962416">
        <w:rPr>
          <w:rFonts w:ascii="Arial" w:hAnsi="Arial" w:cs="Arial"/>
          <w:sz w:val="20"/>
          <w:szCs w:val="20"/>
        </w:rPr>
        <w:t xml:space="preserve">at any stage of dementia and will involve changes such as role, status </w:t>
      </w:r>
      <w:r w:rsidR="007E435E" w:rsidRPr="00962416">
        <w:rPr>
          <w:rFonts w:ascii="Arial" w:hAnsi="Arial" w:cs="Arial"/>
          <w:sz w:val="20"/>
          <w:szCs w:val="20"/>
        </w:rPr>
        <w:t xml:space="preserve">and </w:t>
      </w:r>
      <w:r w:rsidRPr="00962416">
        <w:rPr>
          <w:rFonts w:ascii="Arial" w:hAnsi="Arial" w:cs="Arial"/>
          <w:sz w:val="20"/>
          <w:szCs w:val="20"/>
        </w:rPr>
        <w:t>meaningful activities. Adjustments are more difficult in dementia and people are likely to be disabled by a move as the dementia progresses</w:t>
      </w:r>
      <w:r w:rsidR="002F09EF" w:rsidRPr="00962416">
        <w:rPr>
          <w:rFonts w:ascii="Arial" w:hAnsi="Arial" w:cs="Arial"/>
          <w:sz w:val="20"/>
          <w:szCs w:val="20"/>
        </w:rPr>
        <w:t>.</w:t>
      </w:r>
    </w:p>
    <w:p w14:paraId="4FAEBE61" w14:textId="77777777" w:rsidR="002F09EF" w:rsidRPr="00962416" w:rsidRDefault="002F09EF" w:rsidP="002F09EF">
      <w:pPr>
        <w:pStyle w:val="BodyA"/>
        <w:ind w:left="229"/>
        <w:rPr>
          <w:rFonts w:ascii="Arial" w:hAnsi="Arial" w:cs="Arial"/>
          <w:i/>
          <w:iCs/>
          <w:sz w:val="20"/>
          <w:szCs w:val="20"/>
        </w:rPr>
      </w:pPr>
    </w:p>
    <w:p w14:paraId="5C195450" w14:textId="2B594969" w:rsidR="002F09EF" w:rsidRPr="00962416" w:rsidRDefault="007E435E" w:rsidP="002F09EF">
      <w:pPr>
        <w:pStyle w:val="BodyA"/>
        <w:numPr>
          <w:ilvl w:val="0"/>
          <w:numId w:val="3"/>
        </w:numPr>
        <w:rPr>
          <w:rFonts w:ascii="Arial" w:hAnsi="Arial" w:cs="Arial"/>
          <w:i/>
          <w:iCs/>
          <w:sz w:val="20"/>
          <w:szCs w:val="20"/>
        </w:rPr>
      </w:pPr>
      <w:r w:rsidRPr="00962416">
        <w:rPr>
          <w:rFonts w:ascii="Arial" w:hAnsi="Arial" w:cs="Arial"/>
          <w:b/>
          <w:color w:val="6A3C5E"/>
          <w:sz w:val="20"/>
          <w:szCs w:val="20"/>
        </w:rPr>
        <w:t>Take positive risks</w:t>
      </w:r>
      <w:r w:rsidR="00BC020D" w:rsidRPr="00962416">
        <w:rPr>
          <w:rFonts w:ascii="Arial" w:hAnsi="Arial" w:cs="Arial"/>
          <w:b/>
          <w:color w:val="6A3C5E"/>
          <w:sz w:val="20"/>
          <w:szCs w:val="20"/>
        </w:rPr>
        <w:t>.</w:t>
      </w:r>
      <w:r w:rsidR="00BC020D" w:rsidRPr="00962416">
        <w:rPr>
          <w:rFonts w:ascii="Arial" w:hAnsi="Arial" w:cs="Arial"/>
          <w:color w:val="6A3C5E"/>
          <w:sz w:val="20"/>
          <w:szCs w:val="20"/>
        </w:rPr>
        <w:t xml:space="preserve"> </w:t>
      </w:r>
      <w:r w:rsidR="00BC020D" w:rsidRPr="00962416">
        <w:rPr>
          <w:rFonts w:ascii="Arial" w:hAnsi="Arial" w:cs="Arial"/>
          <w:sz w:val="20"/>
          <w:szCs w:val="20"/>
        </w:rPr>
        <w:t>Removing or refusing to enable some risks can lead to deskilling and increase</w:t>
      </w:r>
      <w:r w:rsidR="003D7536" w:rsidRPr="00962416">
        <w:rPr>
          <w:rFonts w:ascii="Arial" w:hAnsi="Arial" w:cs="Arial"/>
          <w:sz w:val="20"/>
          <w:szCs w:val="20"/>
        </w:rPr>
        <w:t>d</w:t>
      </w:r>
      <w:r w:rsidR="00BC020D" w:rsidRPr="00962416">
        <w:rPr>
          <w:rFonts w:ascii="Arial" w:hAnsi="Arial" w:cs="Arial"/>
          <w:sz w:val="20"/>
          <w:szCs w:val="20"/>
        </w:rPr>
        <w:t xml:space="preserve"> d</w:t>
      </w:r>
      <w:r w:rsidR="00BC020D" w:rsidRPr="00962416">
        <w:rPr>
          <w:rFonts w:ascii="Arial" w:hAnsi="Arial" w:cs="Arial"/>
          <w:sz w:val="20"/>
          <w:szCs w:val="20"/>
        </w:rPr>
        <w:t>e</w:t>
      </w:r>
      <w:r w:rsidR="00BC020D" w:rsidRPr="00962416">
        <w:rPr>
          <w:rFonts w:ascii="Arial" w:hAnsi="Arial" w:cs="Arial"/>
          <w:sz w:val="20"/>
          <w:szCs w:val="20"/>
        </w:rPr>
        <w:t>pendence, caus</w:t>
      </w:r>
      <w:r w:rsidRPr="00962416">
        <w:rPr>
          <w:rFonts w:ascii="Arial" w:hAnsi="Arial" w:cs="Arial"/>
          <w:sz w:val="20"/>
          <w:szCs w:val="20"/>
        </w:rPr>
        <w:t>e premature admission into care and</w:t>
      </w:r>
      <w:r w:rsidR="00BC020D" w:rsidRPr="00962416">
        <w:rPr>
          <w:rFonts w:ascii="Arial" w:hAnsi="Arial" w:cs="Arial"/>
          <w:sz w:val="20"/>
          <w:szCs w:val="20"/>
        </w:rPr>
        <w:t xml:space="preserve"> create new risks</w:t>
      </w:r>
      <w:r w:rsidRPr="00962416">
        <w:rPr>
          <w:rFonts w:ascii="Arial" w:hAnsi="Arial" w:cs="Arial"/>
          <w:sz w:val="20"/>
          <w:szCs w:val="20"/>
        </w:rPr>
        <w:t>,</w:t>
      </w:r>
      <w:r w:rsidR="00BC020D" w:rsidRPr="00962416">
        <w:rPr>
          <w:rFonts w:ascii="Arial" w:hAnsi="Arial" w:cs="Arial"/>
          <w:sz w:val="20"/>
          <w:szCs w:val="20"/>
        </w:rPr>
        <w:t xml:space="preserve"> as well as affect wellbeing and quality of life</w:t>
      </w:r>
      <w:r w:rsidR="002F09EF" w:rsidRPr="00962416">
        <w:rPr>
          <w:rFonts w:ascii="Arial" w:hAnsi="Arial" w:cs="Arial"/>
          <w:sz w:val="20"/>
          <w:szCs w:val="20"/>
        </w:rPr>
        <w:t>.</w:t>
      </w:r>
      <w:r w:rsidR="0056566B" w:rsidRPr="00962416">
        <w:rPr>
          <w:rFonts w:ascii="Arial" w:hAnsi="Arial" w:cs="Arial"/>
          <w:i/>
          <w:iCs/>
          <w:sz w:val="20"/>
          <w:szCs w:val="20"/>
        </w:rPr>
        <w:br/>
      </w:r>
    </w:p>
    <w:p w14:paraId="7E882F73" w14:textId="04C97DE2" w:rsidR="002F09EF" w:rsidRPr="00962416" w:rsidRDefault="00BC020D" w:rsidP="002F09EF">
      <w:pPr>
        <w:pStyle w:val="Body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2416">
        <w:rPr>
          <w:rFonts w:ascii="Arial" w:hAnsi="Arial" w:cs="Arial"/>
          <w:b/>
          <w:color w:val="6A3C5E"/>
          <w:sz w:val="20"/>
          <w:szCs w:val="20"/>
          <w:u w:color="0096FF"/>
        </w:rPr>
        <w:t>Early OT assessments</w:t>
      </w:r>
      <w:r w:rsidRPr="00962416">
        <w:rPr>
          <w:rFonts w:ascii="Arial" w:hAnsi="Arial" w:cs="Arial"/>
          <w:color w:val="6A3C5E"/>
          <w:sz w:val="20"/>
          <w:szCs w:val="20"/>
        </w:rPr>
        <w:t xml:space="preserve"> </w:t>
      </w:r>
      <w:r w:rsidRPr="00962416">
        <w:rPr>
          <w:rFonts w:ascii="Arial" w:hAnsi="Arial" w:cs="Arial"/>
          <w:sz w:val="20"/>
          <w:szCs w:val="20"/>
        </w:rPr>
        <w:t>can contribute significantly to enabling a person with dementia to remain at home independently</w:t>
      </w:r>
      <w:r w:rsidR="002F09EF" w:rsidRPr="00962416">
        <w:rPr>
          <w:rFonts w:ascii="Arial" w:hAnsi="Arial" w:cs="Arial"/>
          <w:sz w:val="20"/>
          <w:szCs w:val="20"/>
        </w:rPr>
        <w:t>.</w:t>
      </w:r>
    </w:p>
    <w:p w14:paraId="04F6809B" w14:textId="77777777" w:rsidR="002F09EF" w:rsidRPr="00962416" w:rsidRDefault="002F09EF" w:rsidP="002F09EF">
      <w:pPr>
        <w:pStyle w:val="BodyA"/>
        <w:ind w:left="229"/>
        <w:rPr>
          <w:rFonts w:ascii="Arial" w:hAnsi="Arial" w:cs="Arial"/>
          <w:sz w:val="20"/>
          <w:szCs w:val="20"/>
        </w:rPr>
      </w:pPr>
    </w:p>
    <w:p w14:paraId="42F6E09E" w14:textId="1B621A16" w:rsidR="00F6178F" w:rsidRPr="00962416" w:rsidRDefault="00BC020D" w:rsidP="002F09EF">
      <w:pPr>
        <w:pStyle w:val="Body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2416">
        <w:rPr>
          <w:rFonts w:ascii="Arial" w:hAnsi="Arial" w:cs="Arial"/>
          <w:b/>
          <w:color w:val="6A3C5E"/>
          <w:sz w:val="20"/>
          <w:szCs w:val="20"/>
          <w:u w:color="0096FF"/>
        </w:rPr>
        <w:t>Involve housing colleagues in assessments and support planning at the earliest opportunity;</w:t>
      </w:r>
      <w:r w:rsidRPr="00962416">
        <w:rPr>
          <w:rFonts w:ascii="Arial" w:hAnsi="Arial" w:cs="Arial"/>
          <w:color w:val="6A3C5E"/>
          <w:sz w:val="20"/>
          <w:szCs w:val="20"/>
          <w:u w:color="0096FF"/>
        </w:rPr>
        <w:t xml:space="preserve"> </w:t>
      </w:r>
      <w:r w:rsidRPr="00962416">
        <w:rPr>
          <w:rFonts w:ascii="Arial" w:hAnsi="Arial" w:cs="Arial"/>
          <w:sz w:val="20"/>
          <w:szCs w:val="20"/>
          <w:u w:color="0096FF"/>
        </w:rPr>
        <w:t>they have valuable information about individuals and how they manage in their accommodation</w:t>
      </w:r>
      <w:r w:rsidR="002F09EF" w:rsidRPr="00962416">
        <w:rPr>
          <w:rFonts w:ascii="Arial" w:hAnsi="Arial" w:cs="Arial"/>
          <w:sz w:val="20"/>
          <w:szCs w:val="20"/>
          <w:u w:color="0096FF"/>
        </w:rPr>
        <w:t>.</w:t>
      </w:r>
    </w:p>
    <w:p w14:paraId="7FB06218" w14:textId="77777777" w:rsidR="002F09EF" w:rsidRPr="00962416" w:rsidRDefault="002F09EF" w:rsidP="002F09EF">
      <w:pPr>
        <w:pStyle w:val="BodyA"/>
        <w:rPr>
          <w:rFonts w:ascii="Arial" w:hAnsi="Arial" w:cs="Arial"/>
          <w:sz w:val="20"/>
          <w:szCs w:val="20"/>
        </w:rPr>
      </w:pPr>
    </w:p>
    <w:p w14:paraId="1413DBC7" w14:textId="23B3652A" w:rsidR="00F6178F" w:rsidRPr="00962416" w:rsidRDefault="00BC020D">
      <w:pPr>
        <w:pStyle w:val="Body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2416">
        <w:rPr>
          <w:rFonts w:ascii="Arial" w:hAnsi="Arial" w:cs="Arial"/>
          <w:b/>
          <w:color w:val="6A3C5E"/>
          <w:sz w:val="20"/>
          <w:szCs w:val="20"/>
          <w:u w:color="0096FF"/>
        </w:rPr>
        <w:t>Be aware of housing options</w:t>
      </w:r>
      <w:r w:rsidRPr="00962416">
        <w:rPr>
          <w:rFonts w:ascii="Arial" w:hAnsi="Arial" w:cs="Arial"/>
          <w:color w:val="6A3C5E"/>
          <w:sz w:val="20"/>
          <w:szCs w:val="20"/>
          <w:u w:color="0096FF"/>
        </w:rPr>
        <w:t xml:space="preserve"> </w:t>
      </w:r>
      <w:r w:rsidRPr="00962416">
        <w:rPr>
          <w:rFonts w:ascii="Arial" w:hAnsi="Arial" w:cs="Arial"/>
          <w:sz w:val="20"/>
          <w:szCs w:val="20"/>
          <w:u w:color="0096FF"/>
        </w:rPr>
        <w:t>and how to</w:t>
      </w:r>
      <w:r w:rsidRPr="00962416">
        <w:rPr>
          <w:rFonts w:ascii="Arial" w:hAnsi="Arial" w:cs="Arial"/>
          <w:sz w:val="20"/>
          <w:szCs w:val="20"/>
        </w:rPr>
        <w:t xml:space="preserve"> </w:t>
      </w:r>
      <w:r w:rsidR="007E435E" w:rsidRPr="00962416">
        <w:rPr>
          <w:rFonts w:ascii="Arial" w:hAnsi="Arial" w:cs="Arial"/>
          <w:sz w:val="20"/>
          <w:szCs w:val="20"/>
        </w:rPr>
        <w:t xml:space="preserve">access </w:t>
      </w:r>
      <w:r w:rsidRPr="00962416">
        <w:rPr>
          <w:rFonts w:ascii="Arial" w:hAnsi="Arial" w:cs="Arial"/>
          <w:sz w:val="20"/>
          <w:szCs w:val="20"/>
        </w:rPr>
        <w:t xml:space="preserve">them; keep up to date on eligibility for DFGs and changes in benefits associated with housing. Be familiar with </w:t>
      </w:r>
      <w:r w:rsidR="007E435E" w:rsidRPr="00962416">
        <w:rPr>
          <w:rFonts w:ascii="Arial" w:hAnsi="Arial" w:cs="Arial"/>
          <w:sz w:val="20"/>
          <w:szCs w:val="20"/>
        </w:rPr>
        <w:t xml:space="preserve">the </w:t>
      </w:r>
      <w:r w:rsidRPr="00962416">
        <w:rPr>
          <w:rFonts w:ascii="Arial" w:hAnsi="Arial" w:cs="Arial"/>
          <w:sz w:val="20"/>
          <w:szCs w:val="20"/>
        </w:rPr>
        <w:t>legality of tenancies and relinquishing them, particularly if a person</w:t>
      </w:r>
      <w:r w:rsidR="007E435E" w:rsidRPr="00962416">
        <w:rPr>
          <w:rFonts w:ascii="Arial" w:hAnsi="Arial" w:cs="Arial"/>
          <w:sz w:val="20"/>
          <w:szCs w:val="20"/>
        </w:rPr>
        <w:t xml:space="preserve"> may lack capacity in this area</w:t>
      </w:r>
      <w:r w:rsidR="002F09EF" w:rsidRPr="00962416">
        <w:rPr>
          <w:rFonts w:ascii="Arial" w:hAnsi="Arial" w:cs="Arial"/>
          <w:sz w:val="20"/>
          <w:szCs w:val="20"/>
        </w:rPr>
        <w:t>.</w:t>
      </w:r>
    </w:p>
    <w:sectPr w:rsidR="00F6178F" w:rsidRPr="00962416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A9C76" w14:textId="77777777" w:rsidR="005D735E" w:rsidRDefault="005D735E">
      <w:r>
        <w:separator/>
      </w:r>
    </w:p>
  </w:endnote>
  <w:endnote w:type="continuationSeparator" w:id="0">
    <w:p w14:paraId="16D6F580" w14:textId="77777777" w:rsidR="005D735E" w:rsidRDefault="005D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AF5CE" w14:textId="6797D2A6" w:rsidR="002F09EF" w:rsidRDefault="002F09E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6790AE3" wp14:editId="2CA3857A">
          <wp:simplePos x="0" y="0"/>
          <wp:positionH relativeFrom="column">
            <wp:posOffset>5251450</wp:posOffset>
          </wp:positionH>
          <wp:positionV relativeFrom="paragraph">
            <wp:posOffset>218440</wp:posOffset>
          </wp:positionV>
          <wp:extent cx="1609725" cy="643890"/>
          <wp:effectExtent l="0" t="0" r="9525" b="3810"/>
          <wp:wrapTight wrapText="bothSides">
            <wp:wrapPolygon edited="0">
              <wp:start x="0" y="0"/>
              <wp:lineTo x="0" y="21089"/>
              <wp:lineTo x="21472" y="21089"/>
              <wp:lineTo x="21472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N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2EF5E" w14:textId="77777777" w:rsidR="005D735E" w:rsidRDefault="005D735E">
      <w:r>
        <w:separator/>
      </w:r>
    </w:p>
  </w:footnote>
  <w:footnote w:type="continuationSeparator" w:id="0">
    <w:p w14:paraId="6D1FC38C" w14:textId="77777777" w:rsidR="005D735E" w:rsidRDefault="005D7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389A0" w14:textId="08005103" w:rsidR="002F09EF" w:rsidRPr="00C51F9C" w:rsidRDefault="00962416" w:rsidP="002F09EF">
    <w:pPr>
      <w:pStyle w:val="Header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509651355"/>
        <w:docPartObj>
          <w:docPartGallery w:val="Page Numbers (Margins)"/>
          <w:docPartUnique/>
        </w:docPartObj>
      </w:sdtPr>
      <w:sdtEndPr/>
      <w:sdtContent>
        <w:r w:rsidR="002F09EF" w:rsidRPr="002F09EF">
          <w:rPr>
            <w:rFonts w:ascii="Arial" w:hAnsi="Arial" w:cs="Arial"/>
            <w:noProof/>
            <w:sz w:val="16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10068EB" wp14:editId="07C5B8D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6F614" w14:textId="77777777" w:rsidR="002F09EF" w:rsidRPr="002F09EF" w:rsidRDefault="002F09EF">
                              <w:pPr>
                                <w:pStyle w:val="Footer"/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</w:pPr>
                              <w:r w:rsidRPr="002F09EF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>Page</w:t>
                              </w:r>
                              <w:r w:rsidRPr="002F09EF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F09E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2F09EF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62416" w:rsidRPr="00962416">
                                <w:rPr>
                                  <w:rFonts w:ascii="Arial" w:eastAsiaTheme="majorEastAsia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2F09EF">
                                <w:rPr>
                                  <w:rFonts w:ascii="Arial" w:eastAsiaTheme="majorEastAsia" w:hAnsi="Arial" w:cs="Arial"/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1066F614" w14:textId="77777777" w:rsidR="002F09EF" w:rsidRPr="002F09EF" w:rsidRDefault="002F09EF">
                        <w:pPr>
                          <w:pStyle w:val="Footer"/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</w:pPr>
                        <w:r w:rsidRPr="002F09EF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>Page</w:t>
                        </w:r>
                        <w:r w:rsidRPr="002F09EF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2F09E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2F09EF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962416" w:rsidRPr="00962416">
                          <w:rPr>
                            <w:rFonts w:ascii="Arial" w:eastAsiaTheme="majorEastAsia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2F09EF">
                          <w:rPr>
                            <w:rFonts w:ascii="Arial" w:eastAsiaTheme="majorEastAsia" w:hAnsi="Arial" w:cs="Arial"/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F09EF">
      <w:rPr>
        <w:rFonts w:ascii="Arial" w:hAnsi="Arial" w:cs="Arial"/>
        <w:sz w:val="16"/>
        <w:szCs w:val="16"/>
      </w:rPr>
      <w:t>Beyond the Front Door: Top Tips for Social Care Assessors</w:t>
    </w:r>
  </w:p>
  <w:p w14:paraId="3D6AD78F" w14:textId="77777777" w:rsidR="00F6178F" w:rsidRDefault="00F6178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C5947"/>
    <w:multiLevelType w:val="hybridMultilevel"/>
    <w:tmpl w:val="9ADC5ED2"/>
    <w:numStyleLink w:val="Bullet"/>
  </w:abstractNum>
  <w:abstractNum w:abstractNumId="1">
    <w:nsid w:val="48646ED9"/>
    <w:multiLevelType w:val="hybridMultilevel"/>
    <w:tmpl w:val="9ADC5ED2"/>
    <w:styleLink w:val="Bullet"/>
    <w:lvl w:ilvl="0" w:tplc="2E54ABFC">
      <w:start w:val="1"/>
      <w:numFmt w:val="bullet"/>
      <w:lvlText w:val="•"/>
      <w:lvlJc w:val="left"/>
      <w:pPr>
        <w:ind w:left="22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CEFD48">
      <w:start w:val="1"/>
      <w:numFmt w:val="bullet"/>
      <w:lvlText w:val="•"/>
      <w:lvlJc w:val="left"/>
      <w:pPr>
        <w:ind w:left="40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D06F40">
      <w:start w:val="1"/>
      <w:numFmt w:val="bullet"/>
      <w:lvlText w:val="•"/>
      <w:lvlJc w:val="left"/>
      <w:pPr>
        <w:ind w:left="58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6FE1C">
      <w:start w:val="1"/>
      <w:numFmt w:val="bullet"/>
      <w:lvlText w:val="•"/>
      <w:lvlJc w:val="left"/>
      <w:pPr>
        <w:ind w:left="76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004E76">
      <w:start w:val="1"/>
      <w:numFmt w:val="bullet"/>
      <w:lvlText w:val="•"/>
      <w:lvlJc w:val="left"/>
      <w:pPr>
        <w:ind w:left="94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989244">
      <w:start w:val="1"/>
      <w:numFmt w:val="bullet"/>
      <w:lvlText w:val="•"/>
      <w:lvlJc w:val="left"/>
      <w:pPr>
        <w:ind w:left="112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921716">
      <w:start w:val="1"/>
      <w:numFmt w:val="bullet"/>
      <w:lvlText w:val="•"/>
      <w:lvlJc w:val="left"/>
      <w:pPr>
        <w:ind w:left="130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64A128">
      <w:start w:val="1"/>
      <w:numFmt w:val="bullet"/>
      <w:lvlText w:val="•"/>
      <w:lvlJc w:val="left"/>
      <w:pPr>
        <w:ind w:left="148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C05C3C">
      <w:start w:val="1"/>
      <w:numFmt w:val="bullet"/>
      <w:lvlText w:val="•"/>
      <w:lvlJc w:val="left"/>
      <w:pPr>
        <w:ind w:left="166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1E808822">
        <w:start w:val="1"/>
        <w:numFmt w:val="bullet"/>
        <w:lvlText w:val="•"/>
        <w:lvlJc w:val="left"/>
        <w:pPr>
          <w:ind w:left="229" w:hanging="229"/>
        </w:pPr>
        <w:rPr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52F64A">
        <w:start w:val="1"/>
        <w:numFmt w:val="bullet"/>
        <w:lvlText w:val="•"/>
        <w:lvlJc w:val="left"/>
        <w:pPr>
          <w:ind w:left="409" w:hanging="229"/>
        </w:pPr>
        <w:rPr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328F72">
        <w:start w:val="1"/>
        <w:numFmt w:val="bullet"/>
        <w:lvlText w:val="•"/>
        <w:lvlJc w:val="left"/>
        <w:pPr>
          <w:ind w:left="589" w:hanging="229"/>
        </w:pPr>
        <w:rPr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18DC44">
        <w:start w:val="1"/>
        <w:numFmt w:val="bullet"/>
        <w:lvlText w:val="•"/>
        <w:lvlJc w:val="left"/>
        <w:pPr>
          <w:ind w:left="769" w:hanging="229"/>
        </w:pPr>
        <w:rPr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365296">
        <w:start w:val="1"/>
        <w:numFmt w:val="bullet"/>
        <w:lvlText w:val="•"/>
        <w:lvlJc w:val="left"/>
        <w:pPr>
          <w:ind w:left="949" w:hanging="229"/>
        </w:pPr>
        <w:rPr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16083A">
        <w:start w:val="1"/>
        <w:numFmt w:val="bullet"/>
        <w:lvlText w:val="•"/>
        <w:lvlJc w:val="left"/>
        <w:pPr>
          <w:ind w:left="1129" w:hanging="229"/>
        </w:pPr>
        <w:rPr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1655A4">
        <w:start w:val="1"/>
        <w:numFmt w:val="bullet"/>
        <w:lvlText w:val="•"/>
        <w:lvlJc w:val="left"/>
        <w:pPr>
          <w:ind w:left="1309" w:hanging="229"/>
        </w:pPr>
        <w:rPr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26DB8A">
        <w:start w:val="1"/>
        <w:numFmt w:val="bullet"/>
        <w:lvlText w:val="•"/>
        <w:lvlJc w:val="left"/>
        <w:pPr>
          <w:ind w:left="1489" w:hanging="229"/>
        </w:pPr>
        <w:rPr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36D8B2">
        <w:start w:val="1"/>
        <w:numFmt w:val="bullet"/>
        <w:lvlText w:val="•"/>
        <w:lvlJc w:val="left"/>
        <w:pPr>
          <w:ind w:left="1669" w:hanging="229"/>
        </w:pPr>
        <w:rPr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8F"/>
    <w:rsid w:val="002F09EF"/>
    <w:rsid w:val="003D7536"/>
    <w:rsid w:val="0056566B"/>
    <w:rsid w:val="005D735E"/>
    <w:rsid w:val="006B4649"/>
    <w:rsid w:val="007E435E"/>
    <w:rsid w:val="00962416"/>
    <w:rsid w:val="009A20C1"/>
    <w:rsid w:val="00BC020D"/>
    <w:rsid w:val="00BD5B90"/>
    <w:rsid w:val="00E14582"/>
    <w:rsid w:val="00F6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5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9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F09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9E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F0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9EF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F09EF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2F0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9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F09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9E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F0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9EF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F09EF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2F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Christina Berry Moorcroft</cp:lastModifiedBy>
  <cp:revision>4</cp:revision>
  <cp:lastPrinted>2017-08-24T10:21:00Z</cp:lastPrinted>
  <dcterms:created xsi:type="dcterms:W3CDTF">2018-04-10T10:21:00Z</dcterms:created>
  <dcterms:modified xsi:type="dcterms:W3CDTF">2018-06-11T10:31:00Z</dcterms:modified>
</cp:coreProperties>
</file>