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0F800" w14:textId="09C10840" w:rsidR="00DD5507" w:rsidRDefault="003D71CA">
      <w:pPr>
        <w:pStyle w:val="BodyA"/>
        <w:jc w:val="center"/>
      </w:pPr>
      <w:r w:rsidRPr="00E20AD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EAF7C16" wp14:editId="7CF74223">
            <wp:simplePos x="0" y="0"/>
            <wp:positionH relativeFrom="column">
              <wp:posOffset>1642110</wp:posOffset>
            </wp:positionH>
            <wp:positionV relativeFrom="paragraph">
              <wp:posOffset>-24765</wp:posOffset>
            </wp:positionV>
            <wp:extent cx="316230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470" y="21145"/>
                <wp:lineTo x="2147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N new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80BBE" w14:textId="6270502F" w:rsidR="003D71CA" w:rsidRDefault="003D71CA" w:rsidP="003D71CA">
      <w:pPr>
        <w:pStyle w:val="Heading1"/>
        <w:jc w:val="center"/>
        <w:rPr>
          <w:rFonts w:ascii="Arial" w:hAnsi="Arial" w:cs="Arial"/>
          <w:b/>
          <w:color w:val="00B398"/>
          <w:sz w:val="36"/>
          <w:szCs w:val="36"/>
        </w:rPr>
      </w:pPr>
    </w:p>
    <w:p w14:paraId="19074BA5" w14:textId="77777777" w:rsidR="003D71CA" w:rsidRDefault="003D71CA" w:rsidP="003D71CA">
      <w:pPr>
        <w:pStyle w:val="Heading1"/>
        <w:jc w:val="center"/>
        <w:rPr>
          <w:rFonts w:ascii="Arial" w:hAnsi="Arial" w:cs="Arial"/>
          <w:b/>
          <w:color w:val="00B398"/>
          <w:sz w:val="36"/>
          <w:szCs w:val="36"/>
        </w:rPr>
      </w:pPr>
    </w:p>
    <w:p w14:paraId="47EDC7B1" w14:textId="77777777" w:rsidR="003D71CA" w:rsidRDefault="003D71CA" w:rsidP="003D71CA">
      <w:pPr>
        <w:pStyle w:val="Heading1"/>
        <w:jc w:val="center"/>
        <w:rPr>
          <w:rFonts w:ascii="Arial" w:hAnsi="Arial" w:cs="Arial"/>
          <w:b/>
          <w:color w:val="00B398"/>
          <w:sz w:val="36"/>
          <w:szCs w:val="36"/>
        </w:rPr>
      </w:pPr>
    </w:p>
    <w:p w14:paraId="1B940B95" w14:textId="323CF8E7" w:rsidR="003D71CA" w:rsidRPr="00314783" w:rsidRDefault="003D71CA" w:rsidP="00314783">
      <w:pPr>
        <w:pStyle w:val="Heading1"/>
        <w:jc w:val="center"/>
        <w:rPr>
          <w:rFonts w:ascii="Arial" w:hAnsi="Arial" w:cs="Arial"/>
          <w:b/>
          <w:color w:val="00B398"/>
          <w:sz w:val="28"/>
          <w:szCs w:val="28"/>
        </w:rPr>
      </w:pPr>
      <w:r w:rsidRPr="00314783">
        <w:rPr>
          <w:rFonts w:ascii="Arial" w:hAnsi="Arial" w:cs="Arial"/>
          <w:b/>
          <w:color w:val="00B398"/>
          <w:sz w:val="28"/>
          <w:szCs w:val="28"/>
        </w:rPr>
        <w:t>BEYOND THE FRONT DOOR: What ‘home’ means to people with deme</w:t>
      </w:r>
      <w:r w:rsidRPr="00314783">
        <w:rPr>
          <w:rFonts w:ascii="Arial" w:hAnsi="Arial" w:cs="Arial"/>
          <w:b/>
          <w:color w:val="00B398"/>
          <w:sz w:val="28"/>
          <w:szCs w:val="28"/>
        </w:rPr>
        <w:t>n</w:t>
      </w:r>
      <w:r w:rsidRPr="00314783">
        <w:rPr>
          <w:rFonts w:ascii="Arial" w:hAnsi="Arial" w:cs="Arial"/>
          <w:b/>
          <w:color w:val="00B398"/>
          <w:sz w:val="28"/>
          <w:szCs w:val="28"/>
        </w:rPr>
        <w:t>tia and their carers</w:t>
      </w:r>
    </w:p>
    <w:p w14:paraId="198D180E" w14:textId="77777777" w:rsidR="003D71CA" w:rsidRDefault="003D71CA" w:rsidP="003D71CA">
      <w:pPr>
        <w:jc w:val="center"/>
        <w:rPr>
          <w:rFonts w:ascii="Arial" w:hAnsi="Arial" w:cs="Arial"/>
          <w:b/>
          <w:color w:val="007A33"/>
          <w:sz w:val="28"/>
          <w:szCs w:val="28"/>
        </w:rPr>
      </w:pPr>
    </w:p>
    <w:p w14:paraId="05149804" w14:textId="1171592B" w:rsidR="003D71CA" w:rsidRPr="00314783" w:rsidRDefault="003D71CA" w:rsidP="00314783">
      <w:pPr>
        <w:jc w:val="center"/>
        <w:rPr>
          <w:rFonts w:ascii="Arial" w:hAnsi="Arial" w:cs="Arial"/>
          <w:b/>
          <w:color w:val="007A33"/>
        </w:rPr>
      </w:pPr>
      <w:r w:rsidRPr="00314783">
        <w:rPr>
          <w:rFonts w:ascii="Arial" w:hAnsi="Arial" w:cs="Arial"/>
          <w:b/>
          <w:color w:val="007A33"/>
        </w:rPr>
        <w:t>Top Tips for Hospital Discharge Teams to support positive transitions for people with dementia</w:t>
      </w:r>
    </w:p>
    <w:p w14:paraId="4214415C" w14:textId="77777777" w:rsidR="00DD5507" w:rsidRDefault="00DD5507" w:rsidP="003D71CA">
      <w:pPr>
        <w:pStyle w:val="BodyA"/>
        <w:rPr>
          <w:rFonts w:ascii="Arial" w:hAnsi="Arial" w:cs="Arial"/>
          <w:sz w:val="24"/>
          <w:szCs w:val="24"/>
        </w:rPr>
      </w:pPr>
    </w:p>
    <w:p w14:paraId="67E5BE30" w14:textId="77777777" w:rsidR="00C23485" w:rsidRPr="00314783" w:rsidRDefault="00C23485" w:rsidP="003D71CA">
      <w:pPr>
        <w:pStyle w:val="BodyA"/>
        <w:rPr>
          <w:rFonts w:ascii="Arial" w:hAnsi="Arial" w:cs="Arial"/>
          <w:sz w:val="20"/>
          <w:szCs w:val="20"/>
        </w:rPr>
      </w:pPr>
    </w:p>
    <w:p w14:paraId="670488DD" w14:textId="1CE30CDA" w:rsidR="003D71CA" w:rsidRPr="00314783" w:rsidRDefault="009E7C56" w:rsidP="00314783">
      <w:pPr>
        <w:pStyle w:val="Body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314783">
        <w:rPr>
          <w:rFonts w:ascii="Arial" w:hAnsi="Arial" w:cs="Arial"/>
          <w:b/>
          <w:color w:val="6A3C5E"/>
          <w:sz w:val="20"/>
          <w:szCs w:val="20"/>
          <w:u w:color="0096FF"/>
          <w:lang w:val="en-US"/>
        </w:rPr>
        <w:t>Maintain identity</w:t>
      </w:r>
      <w:r w:rsidR="00EC0EF0" w:rsidRPr="00314783">
        <w:rPr>
          <w:rFonts w:ascii="Arial" w:hAnsi="Arial" w:cs="Arial"/>
          <w:b/>
          <w:color w:val="6A3C5E"/>
          <w:sz w:val="20"/>
          <w:szCs w:val="20"/>
          <w:lang w:val="en-US"/>
        </w:rPr>
        <w:t xml:space="preserve"> –</w:t>
      </w:r>
      <w:r w:rsidR="00EC0EF0" w:rsidRPr="00314783">
        <w:rPr>
          <w:rFonts w:ascii="Arial" w:hAnsi="Arial" w:cs="Arial"/>
          <w:color w:val="6A3C5E"/>
          <w:sz w:val="20"/>
          <w:szCs w:val="20"/>
          <w:lang w:val="en-US"/>
        </w:rPr>
        <w:t xml:space="preserve"> 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someone with dementia </w:t>
      </w:r>
      <w:r w:rsidR="00227A33" w:rsidRPr="00314783">
        <w:rPr>
          <w:rFonts w:ascii="Arial" w:hAnsi="Arial" w:cs="Arial"/>
          <w:sz w:val="20"/>
          <w:szCs w:val="20"/>
          <w:lang w:val="en-US"/>
        </w:rPr>
        <w:t>can easily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lose their sense of self and self</w:t>
      </w:r>
      <w:r w:rsidR="00227A33" w:rsidRPr="00314783">
        <w:rPr>
          <w:rFonts w:ascii="Arial" w:hAnsi="Arial" w:cs="Arial"/>
          <w:sz w:val="20"/>
          <w:szCs w:val="20"/>
          <w:lang w:val="en-US"/>
        </w:rPr>
        <w:t>-</w:t>
      </w:r>
      <w:r w:rsidRPr="00314783">
        <w:rPr>
          <w:rFonts w:ascii="Arial" w:hAnsi="Arial" w:cs="Arial"/>
          <w:sz w:val="20"/>
          <w:szCs w:val="20"/>
          <w:lang w:val="en-US"/>
        </w:rPr>
        <w:t>worth in hospital</w:t>
      </w:r>
      <w:r w:rsidR="004668C2" w:rsidRPr="00314783">
        <w:rPr>
          <w:rFonts w:ascii="Arial" w:hAnsi="Arial" w:cs="Arial"/>
          <w:sz w:val="20"/>
          <w:szCs w:val="20"/>
          <w:lang w:val="en-US"/>
        </w:rPr>
        <w:t xml:space="preserve"> - an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unfamiliar </w:t>
      </w:r>
      <w:r w:rsidR="004668C2" w:rsidRPr="00314783">
        <w:rPr>
          <w:rFonts w:ascii="Arial" w:hAnsi="Arial" w:cs="Arial"/>
          <w:sz w:val="20"/>
          <w:szCs w:val="20"/>
          <w:lang w:val="en-US"/>
        </w:rPr>
        <w:t>setting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where they have little control. Ensure as much continuity as possible </w:t>
      </w:r>
      <w:r w:rsidR="00EC0EF0" w:rsidRPr="00314783">
        <w:rPr>
          <w:rFonts w:ascii="Arial" w:hAnsi="Arial" w:cs="Arial"/>
          <w:sz w:val="20"/>
          <w:szCs w:val="20"/>
          <w:lang w:val="en-US"/>
        </w:rPr>
        <w:t>by involving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friends</w:t>
      </w:r>
      <w:r w:rsidR="00EC0EF0" w:rsidRPr="00314783">
        <w:rPr>
          <w:rFonts w:ascii="Arial" w:hAnsi="Arial" w:cs="Arial"/>
          <w:sz w:val="20"/>
          <w:szCs w:val="20"/>
          <w:lang w:val="en-US"/>
        </w:rPr>
        <w:t xml:space="preserve"> and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relatives</w:t>
      </w:r>
      <w:r w:rsidR="00EC0EF0" w:rsidRPr="00314783">
        <w:rPr>
          <w:rFonts w:ascii="Arial" w:hAnsi="Arial" w:cs="Arial"/>
          <w:sz w:val="20"/>
          <w:szCs w:val="20"/>
          <w:lang w:val="en-US"/>
        </w:rPr>
        <w:t>. Support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know</w:t>
      </w:r>
      <w:r w:rsidR="00EC0EF0" w:rsidRPr="00314783">
        <w:rPr>
          <w:rFonts w:ascii="Arial" w:hAnsi="Arial" w:cs="Arial"/>
          <w:sz w:val="20"/>
          <w:szCs w:val="20"/>
          <w:lang w:val="en-US"/>
        </w:rPr>
        <w:t>n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habits and preferences. Identify individual cultur</w:t>
      </w:r>
      <w:r w:rsidR="00EC0EF0" w:rsidRPr="00314783">
        <w:rPr>
          <w:rFonts w:ascii="Arial" w:hAnsi="Arial" w:cs="Arial"/>
          <w:sz w:val="20"/>
          <w:szCs w:val="20"/>
          <w:lang w:val="en-US"/>
        </w:rPr>
        <w:t>al needs and unde</w:t>
      </w:r>
      <w:r w:rsidR="00EC0EF0" w:rsidRPr="00314783">
        <w:rPr>
          <w:rFonts w:ascii="Arial" w:hAnsi="Arial" w:cs="Arial"/>
          <w:sz w:val="20"/>
          <w:szCs w:val="20"/>
          <w:lang w:val="en-US"/>
        </w:rPr>
        <w:t>r</w:t>
      </w:r>
      <w:r w:rsidR="00EC0EF0" w:rsidRPr="00314783">
        <w:rPr>
          <w:rFonts w:ascii="Arial" w:hAnsi="Arial" w:cs="Arial"/>
          <w:sz w:val="20"/>
          <w:szCs w:val="20"/>
          <w:lang w:val="en-US"/>
        </w:rPr>
        <w:t>stand people’s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socio-economic </w:t>
      </w:r>
      <w:r w:rsidR="00EC0EF0" w:rsidRPr="00314783">
        <w:rPr>
          <w:rFonts w:ascii="Arial" w:hAnsi="Arial" w:cs="Arial"/>
          <w:sz w:val="20"/>
          <w:szCs w:val="20"/>
          <w:lang w:val="en-US"/>
        </w:rPr>
        <w:t>ci</w:t>
      </w:r>
      <w:r w:rsidR="00EC0EF0" w:rsidRPr="00314783">
        <w:rPr>
          <w:rFonts w:ascii="Arial" w:hAnsi="Arial" w:cs="Arial"/>
          <w:sz w:val="20"/>
          <w:szCs w:val="20"/>
          <w:lang w:val="en-US"/>
        </w:rPr>
        <w:t>r</w:t>
      </w:r>
      <w:r w:rsidR="00EC0EF0" w:rsidRPr="00314783">
        <w:rPr>
          <w:rFonts w:ascii="Arial" w:hAnsi="Arial" w:cs="Arial"/>
          <w:sz w:val="20"/>
          <w:szCs w:val="20"/>
          <w:lang w:val="en-US"/>
        </w:rPr>
        <w:t>cumstances</w:t>
      </w:r>
      <w:r w:rsidR="003D71CA" w:rsidRPr="00314783">
        <w:rPr>
          <w:rFonts w:ascii="Arial" w:hAnsi="Arial" w:cs="Arial"/>
          <w:sz w:val="20"/>
          <w:szCs w:val="20"/>
          <w:lang w:val="en-US"/>
        </w:rPr>
        <w:t>.</w:t>
      </w:r>
      <w:r w:rsidR="00C23485" w:rsidRPr="00314783">
        <w:rPr>
          <w:rFonts w:ascii="Arial" w:hAnsi="Arial" w:cs="Arial"/>
          <w:sz w:val="20"/>
          <w:szCs w:val="20"/>
          <w:lang w:val="en-US"/>
        </w:rPr>
        <w:br/>
      </w:r>
      <w:bookmarkStart w:id="0" w:name="_GoBack"/>
      <w:bookmarkEnd w:id="0"/>
    </w:p>
    <w:p w14:paraId="10D656B0" w14:textId="77777777" w:rsidR="003D71CA" w:rsidRPr="00314783" w:rsidRDefault="005F4233">
      <w:pPr>
        <w:pStyle w:val="BodyA"/>
        <w:numPr>
          <w:ilvl w:val="0"/>
          <w:numId w:val="2"/>
        </w:numPr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 w:rsidRPr="00314783">
        <w:rPr>
          <w:rFonts w:ascii="Arial" w:hAnsi="Arial" w:cs="Arial"/>
          <w:b/>
          <w:color w:val="6A3C5E"/>
          <w:sz w:val="20"/>
          <w:szCs w:val="20"/>
          <w:u w:color="0096FF"/>
          <w:lang w:val="en-US"/>
        </w:rPr>
        <w:t>Start planning for discharge as soon as the person is admitted</w:t>
      </w:r>
      <w:r w:rsidRPr="00314783">
        <w:rPr>
          <w:rFonts w:ascii="Arial" w:hAnsi="Arial" w:cs="Arial"/>
          <w:color w:val="0096FF"/>
          <w:sz w:val="20"/>
          <w:szCs w:val="20"/>
          <w:u w:color="0096FF"/>
          <w:lang w:val="en-US"/>
        </w:rPr>
        <w:t xml:space="preserve">, </w:t>
      </w:r>
      <w:r w:rsidRPr="00314783">
        <w:rPr>
          <w:rFonts w:ascii="Arial" w:hAnsi="Arial" w:cs="Arial"/>
          <w:color w:val="auto"/>
          <w:sz w:val="20"/>
          <w:szCs w:val="20"/>
          <w:u w:color="0096FF"/>
          <w:lang w:val="en-US"/>
        </w:rPr>
        <w:t xml:space="preserve">so that potential </w:t>
      </w:r>
    </w:p>
    <w:p w14:paraId="65FE959B" w14:textId="1782F4ED" w:rsidR="003D71CA" w:rsidRPr="00314783" w:rsidRDefault="005F4233" w:rsidP="00314783">
      <w:pPr>
        <w:pStyle w:val="BodyA"/>
        <w:ind w:left="229"/>
        <w:rPr>
          <w:rFonts w:ascii="Arial" w:hAnsi="Arial" w:cs="Arial"/>
          <w:i/>
          <w:iCs/>
          <w:color w:val="auto"/>
          <w:sz w:val="20"/>
          <w:szCs w:val="20"/>
          <w:lang w:val="en-US"/>
        </w:rPr>
      </w:pPr>
      <w:r w:rsidRPr="00314783">
        <w:rPr>
          <w:rFonts w:ascii="Arial" w:hAnsi="Arial" w:cs="Arial"/>
          <w:color w:val="auto"/>
          <w:sz w:val="20"/>
          <w:szCs w:val="20"/>
          <w:u w:color="0096FF"/>
          <w:lang w:val="en-US"/>
        </w:rPr>
        <w:t>difficulties can be identified and resolved early on. Reducing length of stay produces better outcomes for people with dementia</w:t>
      </w:r>
      <w:r w:rsidR="00227A33" w:rsidRPr="00314783">
        <w:rPr>
          <w:rFonts w:ascii="Arial" w:hAnsi="Arial" w:cs="Arial"/>
          <w:color w:val="auto"/>
          <w:sz w:val="20"/>
          <w:szCs w:val="20"/>
          <w:u w:color="0096FF"/>
          <w:lang w:val="en-US"/>
        </w:rPr>
        <w:t>. Don’t assume that going home is not a viable option</w:t>
      </w:r>
      <w:r w:rsidR="003D71CA" w:rsidRPr="00314783">
        <w:rPr>
          <w:rFonts w:ascii="Arial" w:hAnsi="Arial" w:cs="Arial"/>
          <w:color w:val="auto"/>
          <w:sz w:val="20"/>
          <w:szCs w:val="20"/>
          <w:u w:color="0096FF"/>
          <w:lang w:val="en-US"/>
        </w:rPr>
        <w:t>.</w:t>
      </w:r>
      <w:r w:rsidR="00314783">
        <w:rPr>
          <w:rFonts w:ascii="Arial" w:hAnsi="Arial" w:cs="Arial"/>
          <w:color w:val="auto"/>
          <w:sz w:val="20"/>
          <w:szCs w:val="20"/>
          <w:u w:color="0096FF"/>
          <w:lang w:val="en-US"/>
        </w:rPr>
        <w:br/>
      </w:r>
    </w:p>
    <w:p w14:paraId="1F4BC042" w14:textId="77777777" w:rsidR="003D71CA" w:rsidRPr="00314783" w:rsidRDefault="005F4233">
      <w:pPr>
        <w:pStyle w:val="Body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314783">
        <w:rPr>
          <w:rFonts w:ascii="Arial" w:hAnsi="Arial" w:cs="Arial"/>
          <w:b/>
          <w:color w:val="6A3C5E"/>
          <w:sz w:val="20"/>
          <w:szCs w:val="20"/>
          <w:u w:color="0096FF"/>
          <w:lang w:val="en-US"/>
        </w:rPr>
        <w:t xml:space="preserve">Identify </w:t>
      </w:r>
      <w:proofErr w:type="spellStart"/>
      <w:r w:rsidRPr="00314783">
        <w:rPr>
          <w:rFonts w:ascii="Arial" w:hAnsi="Arial" w:cs="Arial"/>
          <w:b/>
          <w:color w:val="6A3C5E"/>
          <w:sz w:val="20"/>
          <w:szCs w:val="20"/>
          <w:u w:color="0096FF"/>
          <w:lang w:val="en-US"/>
        </w:rPr>
        <w:t>carers</w:t>
      </w:r>
      <w:proofErr w:type="spellEnd"/>
      <w:r w:rsidRPr="00314783">
        <w:rPr>
          <w:rFonts w:ascii="Arial" w:hAnsi="Arial" w:cs="Arial"/>
          <w:b/>
          <w:color w:val="6A3C5E"/>
          <w:sz w:val="20"/>
          <w:szCs w:val="20"/>
          <w:u w:color="0096FF"/>
          <w:lang w:val="en-US"/>
        </w:rPr>
        <w:t xml:space="preserve"> and other family members and involve them from the outset as equal partners</w:t>
      </w:r>
      <w:r w:rsidRPr="00314783">
        <w:rPr>
          <w:rFonts w:ascii="Arial" w:hAnsi="Arial" w:cs="Arial"/>
          <w:color w:val="6A3C5E"/>
          <w:sz w:val="20"/>
          <w:szCs w:val="20"/>
          <w:u w:color="0096FF"/>
          <w:lang w:val="en-US"/>
        </w:rPr>
        <w:t xml:space="preserve"> </w:t>
      </w:r>
      <w:r w:rsidRPr="00314783">
        <w:rPr>
          <w:rFonts w:ascii="Arial" w:hAnsi="Arial" w:cs="Arial"/>
          <w:iCs/>
          <w:sz w:val="20"/>
          <w:szCs w:val="20"/>
          <w:lang w:val="en-US"/>
        </w:rPr>
        <w:t xml:space="preserve">- they usually know the person better than anyone and can provide </w:t>
      </w:r>
    </w:p>
    <w:p w14:paraId="1A3F409C" w14:textId="4D3ACEE6" w:rsidR="005F4233" w:rsidRPr="00314783" w:rsidRDefault="005F4233" w:rsidP="003D71CA">
      <w:pPr>
        <w:pStyle w:val="BodyA"/>
        <w:ind w:left="229"/>
        <w:rPr>
          <w:rFonts w:ascii="Arial" w:hAnsi="Arial" w:cs="Arial"/>
          <w:iCs/>
          <w:sz w:val="20"/>
          <w:szCs w:val="20"/>
          <w:lang w:val="en-US"/>
        </w:rPr>
      </w:pPr>
      <w:r w:rsidRPr="00314783">
        <w:rPr>
          <w:rFonts w:ascii="Arial" w:hAnsi="Arial" w:cs="Arial"/>
          <w:iCs/>
          <w:sz w:val="20"/>
          <w:szCs w:val="20"/>
          <w:lang w:val="en-US"/>
        </w:rPr>
        <w:t>crucial information about how they were managing prior to ad</w:t>
      </w:r>
      <w:r w:rsidR="00314783">
        <w:rPr>
          <w:rFonts w:ascii="Arial" w:hAnsi="Arial" w:cs="Arial"/>
          <w:iCs/>
          <w:sz w:val="20"/>
          <w:szCs w:val="20"/>
          <w:lang w:val="en-US"/>
        </w:rPr>
        <w:t>mission.</w:t>
      </w:r>
    </w:p>
    <w:p w14:paraId="47018EB8" w14:textId="77777777" w:rsidR="003D71CA" w:rsidRPr="00314783" w:rsidRDefault="003D71CA" w:rsidP="003D71CA">
      <w:pPr>
        <w:pStyle w:val="BodyA"/>
        <w:ind w:left="229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079E6383" w14:textId="77777777" w:rsidR="00DD5507" w:rsidRPr="00314783" w:rsidRDefault="009E7C56">
      <w:pPr>
        <w:pStyle w:val="Body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314783">
        <w:rPr>
          <w:rFonts w:ascii="Arial" w:hAnsi="Arial" w:cs="Arial"/>
          <w:b/>
          <w:color w:val="6A3C5E"/>
          <w:sz w:val="20"/>
          <w:szCs w:val="20"/>
          <w:u w:color="0096FF"/>
          <w:lang w:val="en-US"/>
        </w:rPr>
        <w:t>Where does the person want to be discharged to?</w:t>
      </w:r>
      <w:r w:rsidRPr="00314783">
        <w:rPr>
          <w:rFonts w:ascii="Arial" w:hAnsi="Arial" w:cs="Arial"/>
          <w:color w:val="6A3C5E"/>
          <w:sz w:val="20"/>
          <w:szCs w:val="20"/>
          <w:lang w:val="en-US"/>
        </w:rPr>
        <w:t xml:space="preserve"> </w:t>
      </w:r>
      <w:proofErr w:type="spellStart"/>
      <w:r w:rsidRPr="00314783">
        <w:rPr>
          <w:rFonts w:ascii="Arial" w:hAnsi="Arial" w:cs="Arial"/>
          <w:sz w:val="20"/>
          <w:szCs w:val="20"/>
          <w:lang w:val="en-US"/>
        </w:rPr>
        <w:t>Recognise</w:t>
      </w:r>
      <w:proofErr w:type="spellEnd"/>
      <w:r w:rsidRPr="00314783">
        <w:rPr>
          <w:rFonts w:ascii="Arial" w:hAnsi="Arial" w:cs="Arial"/>
          <w:sz w:val="20"/>
          <w:szCs w:val="20"/>
          <w:lang w:val="en-US"/>
        </w:rPr>
        <w:t xml:space="preserve"> the importance of ‘home’ as a contrib</w:t>
      </w:r>
      <w:r w:rsidRPr="00314783">
        <w:rPr>
          <w:rFonts w:ascii="Arial" w:hAnsi="Arial" w:cs="Arial"/>
          <w:sz w:val="20"/>
          <w:szCs w:val="20"/>
          <w:lang w:val="en-US"/>
        </w:rPr>
        <w:t>u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tor to self-identity and wellbeing. </w:t>
      </w:r>
      <w:r w:rsidR="00EC0EF0" w:rsidRPr="00314783">
        <w:rPr>
          <w:rFonts w:ascii="Arial" w:hAnsi="Arial" w:cs="Arial"/>
          <w:sz w:val="20"/>
          <w:szCs w:val="20"/>
          <w:lang w:val="en-US"/>
        </w:rPr>
        <w:t xml:space="preserve">It can provide safety, comfort, memories, a sense of community and may represent substantial emotional and financial attachments. 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Create opportunities to </w:t>
      </w:r>
      <w:r w:rsidR="00F52B89" w:rsidRPr="00314783">
        <w:rPr>
          <w:rFonts w:ascii="Arial" w:hAnsi="Arial" w:cs="Arial"/>
          <w:sz w:val="20"/>
          <w:szCs w:val="20"/>
          <w:lang w:val="en-US"/>
        </w:rPr>
        <w:t xml:space="preserve">discuss and </w:t>
      </w:r>
      <w:r w:rsidRPr="00314783">
        <w:rPr>
          <w:rFonts w:ascii="Arial" w:hAnsi="Arial" w:cs="Arial"/>
          <w:sz w:val="20"/>
          <w:szCs w:val="20"/>
          <w:lang w:val="en-US"/>
        </w:rPr>
        <w:t>unde</w:t>
      </w:r>
      <w:r w:rsidRPr="00314783">
        <w:rPr>
          <w:rFonts w:ascii="Arial" w:hAnsi="Arial" w:cs="Arial"/>
          <w:sz w:val="20"/>
          <w:szCs w:val="20"/>
          <w:lang w:val="en-US"/>
        </w:rPr>
        <w:t>r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stand the importance of where the person lives and who matters. </w:t>
      </w:r>
    </w:p>
    <w:p w14:paraId="520398B3" w14:textId="77777777" w:rsidR="003D71CA" w:rsidRPr="00314783" w:rsidRDefault="003D71CA" w:rsidP="003D71CA">
      <w:pPr>
        <w:pStyle w:val="BodyA"/>
        <w:ind w:left="229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4D198370" w14:textId="7B666DB0" w:rsidR="003D71CA" w:rsidRPr="00314783" w:rsidRDefault="009E7C56" w:rsidP="00314783">
      <w:pPr>
        <w:pStyle w:val="Body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314783">
        <w:rPr>
          <w:rFonts w:ascii="Arial" w:hAnsi="Arial" w:cs="Arial"/>
          <w:b/>
          <w:color w:val="6A3C5E"/>
          <w:sz w:val="20"/>
          <w:szCs w:val="20"/>
          <w:lang w:val="en-US"/>
        </w:rPr>
        <w:t>Transitions are stressful</w:t>
      </w:r>
      <w:r w:rsidRPr="00314783">
        <w:rPr>
          <w:rFonts w:ascii="Arial" w:hAnsi="Arial" w:cs="Arial"/>
          <w:color w:val="6A3C5E"/>
          <w:sz w:val="20"/>
          <w:szCs w:val="20"/>
          <w:lang w:val="en-US"/>
        </w:rPr>
        <w:t xml:space="preserve"> 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at any stage of dementia and will involve changes such as role, status </w:t>
      </w:r>
      <w:r w:rsidR="00E243C1" w:rsidRPr="00314783">
        <w:rPr>
          <w:rFonts w:ascii="Arial" w:hAnsi="Arial" w:cs="Arial"/>
          <w:sz w:val="20"/>
          <w:szCs w:val="20"/>
          <w:lang w:val="en-US"/>
        </w:rPr>
        <w:t xml:space="preserve">and </w:t>
      </w:r>
      <w:r w:rsidRPr="00314783">
        <w:rPr>
          <w:rFonts w:ascii="Arial" w:hAnsi="Arial" w:cs="Arial"/>
          <w:sz w:val="20"/>
          <w:szCs w:val="20"/>
          <w:lang w:val="en-US"/>
        </w:rPr>
        <w:t>meaningful activities. Adjustments are more difficult in dementia and people are likely to be disabled by a move as the dementia progresses</w:t>
      </w:r>
      <w:r w:rsidR="003D71CA" w:rsidRPr="00314783">
        <w:rPr>
          <w:rFonts w:ascii="Arial" w:hAnsi="Arial" w:cs="Arial"/>
          <w:sz w:val="20"/>
          <w:szCs w:val="20"/>
          <w:lang w:val="en-US"/>
        </w:rPr>
        <w:t>.</w:t>
      </w:r>
    </w:p>
    <w:p w14:paraId="536E64B0" w14:textId="77777777" w:rsidR="003D71CA" w:rsidRPr="00314783" w:rsidRDefault="003D71CA" w:rsidP="003D71CA">
      <w:pPr>
        <w:pStyle w:val="BodyA"/>
        <w:ind w:left="229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66D42ECF" w14:textId="1E73BD88" w:rsidR="003D71CA" w:rsidRPr="00314783" w:rsidRDefault="009E7C56" w:rsidP="00314783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314783">
        <w:rPr>
          <w:rFonts w:ascii="Arial" w:hAnsi="Arial" w:cs="Arial"/>
          <w:b/>
          <w:color w:val="6A3C5E"/>
          <w:sz w:val="20"/>
          <w:szCs w:val="20"/>
          <w:u w:color="0096FF"/>
          <w:lang w:val="en-US"/>
        </w:rPr>
        <w:t>Ensure that the person with dementia has every opportunity to make their wishes and aspirations known.</w:t>
      </w:r>
      <w:r w:rsidRPr="00314783">
        <w:rPr>
          <w:rFonts w:ascii="Arial" w:hAnsi="Arial" w:cs="Arial"/>
          <w:color w:val="6A3C5E"/>
          <w:sz w:val="20"/>
          <w:szCs w:val="20"/>
          <w:lang w:val="en-US"/>
        </w:rPr>
        <w:t xml:space="preserve"> 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Assume capacity unless otherwise </w:t>
      </w:r>
      <w:r w:rsidR="005F4233" w:rsidRPr="00314783">
        <w:rPr>
          <w:rFonts w:ascii="Arial" w:hAnsi="Arial" w:cs="Arial"/>
          <w:sz w:val="20"/>
          <w:szCs w:val="20"/>
          <w:lang w:val="en-US"/>
        </w:rPr>
        <w:t>assessed and recorded for specific decisions</w:t>
      </w:r>
      <w:r w:rsidRPr="00314783">
        <w:rPr>
          <w:rFonts w:ascii="Arial" w:hAnsi="Arial" w:cs="Arial"/>
          <w:sz w:val="20"/>
          <w:szCs w:val="20"/>
          <w:lang w:val="en-US"/>
        </w:rPr>
        <w:t>. Where a Best Interest Decision is made</w:t>
      </w:r>
      <w:r w:rsidR="00227A33" w:rsidRPr="00314783">
        <w:rPr>
          <w:rFonts w:ascii="Arial" w:hAnsi="Arial" w:cs="Arial"/>
          <w:sz w:val="20"/>
          <w:szCs w:val="20"/>
          <w:lang w:val="en-US"/>
        </w:rPr>
        <w:t>,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ensure that </w:t>
      </w:r>
      <w:r w:rsidR="000E46AD" w:rsidRPr="00314783">
        <w:rPr>
          <w:rFonts w:ascii="Arial" w:hAnsi="Arial" w:cs="Arial"/>
          <w:sz w:val="20"/>
          <w:szCs w:val="20"/>
          <w:lang w:val="en-US"/>
        </w:rPr>
        <w:t xml:space="preserve">the 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wishes and aspirations of </w:t>
      </w:r>
      <w:r w:rsidR="000E46AD" w:rsidRPr="00314783">
        <w:rPr>
          <w:rFonts w:ascii="Arial" w:hAnsi="Arial" w:cs="Arial"/>
          <w:sz w:val="20"/>
          <w:szCs w:val="20"/>
          <w:lang w:val="en-US"/>
        </w:rPr>
        <w:t xml:space="preserve">the 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person are known </w:t>
      </w:r>
      <w:r w:rsidR="00227A33" w:rsidRPr="00314783">
        <w:rPr>
          <w:rFonts w:ascii="Arial" w:hAnsi="Arial" w:cs="Arial"/>
          <w:sz w:val="20"/>
          <w:szCs w:val="20"/>
          <w:lang w:val="en-US"/>
        </w:rPr>
        <w:t xml:space="preserve">and considered 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as well as </w:t>
      </w:r>
      <w:r w:rsidR="005F4233" w:rsidRPr="00314783">
        <w:rPr>
          <w:rFonts w:ascii="Arial" w:hAnsi="Arial" w:cs="Arial"/>
          <w:sz w:val="20"/>
          <w:szCs w:val="20"/>
          <w:lang w:val="en-US"/>
        </w:rPr>
        <w:t xml:space="preserve">their </w:t>
      </w:r>
      <w:r w:rsidRPr="00314783">
        <w:rPr>
          <w:rFonts w:ascii="Arial" w:hAnsi="Arial" w:cs="Arial"/>
          <w:sz w:val="20"/>
          <w:szCs w:val="20"/>
          <w:lang w:val="en-US"/>
        </w:rPr>
        <w:t>living circumstances prior to admission</w:t>
      </w:r>
      <w:r w:rsidR="003D71CA" w:rsidRPr="00314783">
        <w:rPr>
          <w:rFonts w:ascii="Arial" w:hAnsi="Arial" w:cs="Arial"/>
          <w:sz w:val="20"/>
          <w:szCs w:val="20"/>
          <w:lang w:val="en-US"/>
        </w:rPr>
        <w:t>.</w:t>
      </w:r>
      <w:r w:rsidR="00C23485" w:rsidRPr="00314783">
        <w:rPr>
          <w:rFonts w:ascii="Arial" w:hAnsi="Arial" w:cs="Arial"/>
          <w:sz w:val="20"/>
          <w:szCs w:val="20"/>
          <w:lang w:val="en-US"/>
        </w:rPr>
        <w:br/>
      </w:r>
    </w:p>
    <w:p w14:paraId="7570C9E8" w14:textId="4D7AF96A" w:rsidR="005F4233" w:rsidRPr="00314783" w:rsidRDefault="005F4233">
      <w:pPr>
        <w:pStyle w:val="Body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314783">
        <w:rPr>
          <w:rFonts w:ascii="Arial" w:hAnsi="Arial" w:cs="Arial"/>
          <w:b/>
          <w:color w:val="6A3C5E"/>
          <w:sz w:val="20"/>
          <w:szCs w:val="20"/>
          <w:lang w:val="en-US"/>
        </w:rPr>
        <w:t>Collaborate with all parties –</w:t>
      </w:r>
      <w:r w:rsidRPr="00314783">
        <w:rPr>
          <w:rFonts w:ascii="Arial" w:hAnsi="Arial" w:cs="Arial"/>
          <w:color w:val="6A3C5E"/>
          <w:sz w:val="20"/>
          <w:szCs w:val="20"/>
          <w:lang w:val="en-US"/>
        </w:rPr>
        <w:t xml:space="preserve"> </w:t>
      </w:r>
      <w:proofErr w:type="spellStart"/>
      <w:r w:rsidRPr="00314783">
        <w:rPr>
          <w:rFonts w:ascii="Arial" w:hAnsi="Arial" w:cs="Arial"/>
          <w:color w:val="auto"/>
          <w:sz w:val="20"/>
          <w:szCs w:val="20"/>
          <w:lang w:val="en-US"/>
        </w:rPr>
        <w:t>carers</w:t>
      </w:r>
      <w:proofErr w:type="spellEnd"/>
      <w:r w:rsidRPr="00314783">
        <w:rPr>
          <w:rFonts w:ascii="Arial" w:hAnsi="Arial" w:cs="Arial"/>
          <w:color w:val="auto"/>
          <w:sz w:val="20"/>
          <w:szCs w:val="20"/>
          <w:lang w:val="en-US"/>
        </w:rPr>
        <w:t xml:space="preserve">, friends, health and social care professionals and housing staff </w:t>
      </w:r>
      <w:r w:rsidR="00227A33" w:rsidRPr="00314783">
        <w:rPr>
          <w:rFonts w:ascii="Arial" w:hAnsi="Arial" w:cs="Arial"/>
          <w:color w:val="auto"/>
          <w:sz w:val="20"/>
          <w:szCs w:val="20"/>
          <w:lang w:val="en-US"/>
        </w:rPr>
        <w:t xml:space="preserve">– </w:t>
      </w:r>
      <w:r w:rsidRPr="00314783">
        <w:rPr>
          <w:rFonts w:ascii="Arial" w:hAnsi="Arial" w:cs="Arial"/>
          <w:color w:val="auto"/>
          <w:sz w:val="20"/>
          <w:szCs w:val="20"/>
          <w:lang w:val="en-US"/>
        </w:rPr>
        <w:t xml:space="preserve">to </w:t>
      </w:r>
      <w:proofErr w:type="spellStart"/>
      <w:r w:rsidRPr="00314783">
        <w:rPr>
          <w:rFonts w:ascii="Arial" w:hAnsi="Arial" w:cs="Arial"/>
          <w:color w:val="auto"/>
          <w:sz w:val="20"/>
          <w:szCs w:val="20"/>
          <w:lang w:val="en-US"/>
        </w:rPr>
        <w:t>utilise</w:t>
      </w:r>
      <w:proofErr w:type="spellEnd"/>
      <w:r w:rsidRPr="00314783">
        <w:rPr>
          <w:rFonts w:ascii="Arial" w:hAnsi="Arial" w:cs="Arial"/>
          <w:color w:val="auto"/>
          <w:sz w:val="20"/>
          <w:szCs w:val="20"/>
          <w:lang w:val="en-US"/>
        </w:rPr>
        <w:t xml:space="preserve"> e</w:t>
      </w:r>
      <w:r w:rsidR="00314783">
        <w:rPr>
          <w:rFonts w:ascii="Arial" w:hAnsi="Arial" w:cs="Arial"/>
          <w:color w:val="auto"/>
          <w:sz w:val="20"/>
          <w:szCs w:val="20"/>
          <w:lang w:val="en-US"/>
        </w:rPr>
        <w:t>veryone’s knowledge and skills.</w:t>
      </w:r>
    </w:p>
    <w:p w14:paraId="36523C82" w14:textId="77777777" w:rsidR="003D71CA" w:rsidRPr="00314783" w:rsidRDefault="003D71CA" w:rsidP="003D71CA">
      <w:pPr>
        <w:pStyle w:val="BodyA"/>
        <w:rPr>
          <w:rFonts w:ascii="Arial" w:hAnsi="Arial" w:cs="Arial"/>
          <w:i/>
          <w:iCs/>
          <w:sz w:val="20"/>
          <w:szCs w:val="20"/>
          <w:lang w:val="en-US"/>
        </w:rPr>
      </w:pPr>
    </w:p>
    <w:p w14:paraId="3643CF25" w14:textId="4F65C83C" w:rsidR="003D71CA" w:rsidRPr="00314783" w:rsidRDefault="005F4233" w:rsidP="003D71CA">
      <w:pPr>
        <w:pStyle w:val="Body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314783">
        <w:rPr>
          <w:rFonts w:ascii="Arial" w:hAnsi="Arial" w:cs="Arial"/>
          <w:b/>
          <w:color w:val="6A3C5E"/>
          <w:sz w:val="20"/>
          <w:szCs w:val="20"/>
          <w:lang w:val="en-US"/>
        </w:rPr>
        <w:t>Be prepared to take p</w:t>
      </w:r>
      <w:r w:rsidR="009E7C56" w:rsidRPr="00314783">
        <w:rPr>
          <w:rFonts w:ascii="Arial" w:hAnsi="Arial" w:cs="Arial"/>
          <w:b/>
          <w:color w:val="6A3C5E"/>
          <w:sz w:val="20"/>
          <w:szCs w:val="20"/>
          <w:lang w:val="en-US"/>
        </w:rPr>
        <w:t>ositive risk</w:t>
      </w:r>
      <w:r w:rsidRPr="00314783">
        <w:rPr>
          <w:rFonts w:ascii="Arial" w:hAnsi="Arial" w:cs="Arial"/>
          <w:b/>
          <w:color w:val="6A3C5E"/>
          <w:sz w:val="20"/>
          <w:szCs w:val="20"/>
          <w:lang w:val="en-US"/>
        </w:rPr>
        <w:t>s –</w:t>
      </w:r>
      <w:r w:rsidRPr="00314783">
        <w:rPr>
          <w:rFonts w:ascii="Arial" w:hAnsi="Arial" w:cs="Arial"/>
          <w:color w:val="6A3C5E"/>
          <w:sz w:val="20"/>
          <w:szCs w:val="20"/>
          <w:lang w:val="en-US"/>
        </w:rPr>
        <w:t xml:space="preserve"> </w:t>
      </w:r>
      <w:r w:rsidR="004C4855" w:rsidRPr="00314783">
        <w:rPr>
          <w:rFonts w:ascii="Arial" w:hAnsi="Arial" w:cs="Arial"/>
          <w:sz w:val="20"/>
          <w:szCs w:val="20"/>
          <w:lang w:val="en-US"/>
        </w:rPr>
        <w:t>r</w:t>
      </w:r>
      <w:r w:rsidR="009E7C56" w:rsidRPr="00314783">
        <w:rPr>
          <w:rFonts w:ascii="Arial" w:hAnsi="Arial" w:cs="Arial"/>
          <w:sz w:val="20"/>
          <w:szCs w:val="20"/>
          <w:lang w:val="en-US"/>
        </w:rPr>
        <w:t>emoving or refusing to enable some risk</w:t>
      </w:r>
      <w:r w:rsidR="004C4855" w:rsidRPr="00314783">
        <w:rPr>
          <w:rFonts w:ascii="Arial" w:hAnsi="Arial" w:cs="Arial"/>
          <w:sz w:val="20"/>
          <w:szCs w:val="20"/>
          <w:lang w:val="en-US"/>
        </w:rPr>
        <w:t xml:space="preserve"> taking</w:t>
      </w:r>
      <w:r w:rsidR="009E7C56" w:rsidRPr="00314783">
        <w:rPr>
          <w:rFonts w:ascii="Arial" w:hAnsi="Arial" w:cs="Arial"/>
          <w:sz w:val="20"/>
          <w:szCs w:val="20"/>
          <w:lang w:val="en-US"/>
        </w:rPr>
        <w:t xml:space="preserve"> can lead to d</w:t>
      </w:r>
      <w:r w:rsidR="009E7C56" w:rsidRPr="00314783">
        <w:rPr>
          <w:rFonts w:ascii="Arial" w:hAnsi="Arial" w:cs="Arial"/>
          <w:sz w:val="20"/>
          <w:szCs w:val="20"/>
          <w:lang w:val="en-US"/>
        </w:rPr>
        <w:t>e</w:t>
      </w:r>
      <w:r w:rsidR="009E7C56" w:rsidRPr="00314783">
        <w:rPr>
          <w:rFonts w:ascii="Arial" w:hAnsi="Arial" w:cs="Arial"/>
          <w:sz w:val="20"/>
          <w:szCs w:val="20"/>
          <w:lang w:val="en-US"/>
        </w:rPr>
        <w:t>skilling and increase dependence, cause premature admission into care</w:t>
      </w:r>
      <w:r w:rsidR="004C4855" w:rsidRPr="00314783">
        <w:rPr>
          <w:rFonts w:ascii="Arial" w:hAnsi="Arial" w:cs="Arial"/>
          <w:sz w:val="20"/>
          <w:szCs w:val="20"/>
          <w:lang w:val="en-US"/>
        </w:rPr>
        <w:t xml:space="preserve"> and</w:t>
      </w:r>
      <w:r w:rsidR="009E7C56" w:rsidRPr="00314783">
        <w:rPr>
          <w:rFonts w:ascii="Arial" w:hAnsi="Arial" w:cs="Arial"/>
          <w:sz w:val="20"/>
          <w:szCs w:val="20"/>
          <w:lang w:val="en-US"/>
        </w:rPr>
        <w:t xml:space="preserve"> create new risks</w:t>
      </w:r>
      <w:r w:rsidR="00E243C1" w:rsidRPr="00314783">
        <w:rPr>
          <w:rFonts w:ascii="Arial" w:hAnsi="Arial" w:cs="Arial"/>
          <w:sz w:val="20"/>
          <w:szCs w:val="20"/>
          <w:lang w:val="en-US"/>
        </w:rPr>
        <w:t>,</w:t>
      </w:r>
      <w:r w:rsidR="009E7C56" w:rsidRPr="00314783">
        <w:rPr>
          <w:rFonts w:ascii="Arial" w:hAnsi="Arial" w:cs="Arial"/>
          <w:sz w:val="20"/>
          <w:szCs w:val="20"/>
          <w:lang w:val="en-US"/>
        </w:rPr>
        <w:t xml:space="preserve"> as well as affect wellbeing and quality of life</w:t>
      </w:r>
      <w:r w:rsidR="003D71CA" w:rsidRPr="00314783">
        <w:rPr>
          <w:rFonts w:ascii="Arial" w:hAnsi="Arial" w:cs="Arial"/>
          <w:sz w:val="20"/>
          <w:szCs w:val="20"/>
          <w:lang w:val="en-US"/>
        </w:rPr>
        <w:t>.</w:t>
      </w:r>
      <w:r w:rsidR="00C23485" w:rsidRPr="00314783">
        <w:rPr>
          <w:rFonts w:ascii="Arial" w:hAnsi="Arial" w:cs="Arial"/>
          <w:sz w:val="20"/>
          <w:szCs w:val="20"/>
          <w:lang w:val="en-US"/>
        </w:rPr>
        <w:br/>
      </w:r>
    </w:p>
    <w:p w14:paraId="77E4030C" w14:textId="1009612A" w:rsidR="003D71CA" w:rsidRPr="00314783" w:rsidRDefault="009E7C56" w:rsidP="003D71CA">
      <w:pPr>
        <w:pStyle w:val="BodyA"/>
        <w:numPr>
          <w:ilvl w:val="0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314783">
        <w:rPr>
          <w:rFonts w:ascii="Arial" w:hAnsi="Arial" w:cs="Arial"/>
          <w:b/>
          <w:color w:val="6A3C5E"/>
          <w:sz w:val="20"/>
          <w:szCs w:val="20"/>
          <w:lang w:val="en-US"/>
        </w:rPr>
        <w:t>Discharg</w:t>
      </w:r>
      <w:r w:rsidR="004C4855" w:rsidRPr="00314783">
        <w:rPr>
          <w:rFonts w:ascii="Arial" w:hAnsi="Arial" w:cs="Arial"/>
          <w:b/>
          <w:color w:val="6A3C5E"/>
          <w:sz w:val="20"/>
          <w:szCs w:val="20"/>
          <w:lang w:val="en-US"/>
        </w:rPr>
        <w:t>ing</w:t>
      </w:r>
      <w:r w:rsidRPr="00314783">
        <w:rPr>
          <w:rFonts w:ascii="Arial" w:hAnsi="Arial" w:cs="Arial"/>
          <w:b/>
          <w:color w:val="6A3C5E"/>
          <w:sz w:val="20"/>
          <w:szCs w:val="20"/>
          <w:lang w:val="en-US"/>
        </w:rPr>
        <w:t xml:space="preserve"> to assess</w:t>
      </w:r>
      <w:r w:rsidRPr="00314783">
        <w:rPr>
          <w:rFonts w:ascii="Arial" w:hAnsi="Arial" w:cs="Arial"/>
          <w:color w:val="6A3C5E"/>
          <w:sz w:val="20"/>
          <w:szCs w:val="20"/>
          <w:lang w:val="en-US"/>
        </w:rPr>
        <w:t xml:space="preserve"> </w:t>
      </w:r>
      <w:r w:rsidRPr="00314783">
        <w:rPr>
          <w:rFonts w:ascii="Arial" w:hAnsi="Arial" w:cs="Arial"/>
          <w:sz w:val="20"/>
          <w:szCs w:val="20"/>
          <w:lang w:val="en-US"/>
        </w:rPr>
        <w:t>can achieve a more accurate picture of a person’s abilities and improve health outcomes</w:t>
      </w:r>
      <w:r w:rsidR="003D71CA" w:rsidRPr="00314783">
        <w:rPr>
          <w:rFonts w:ascii="Arial" w:hAnsi="Arial" w:cs="Arial"/>
          <w:sz w:val="20"/>
          <w:szCs w:val="20"/>
          <w:lang w:val="en-US"/>
        </w:rPr>
        <w:t>.</w:t>
      </w:r>
      <w:r w:rsidR="00C23485" w:rsidRPr="00314783">
        <w:rPr>
          <w:rFonts w:ascii="Arial" w:hAnsi="Arial" w:cs="Arial"/>
          <w:sz w:val="20"/>
          <w:szCs w:val="20"/>
          <w:lang w:val="en-US"/>
        </w:rPr>
        <w:br/>
      </w:r>
    </w:p>
    <w:p w14:paraId="1E03FFA0" w14:textId="4434D6D4" w:rsidR="00DD5507" w:rsidRPr="00314783" w:rsidRDefault="009E7C56" w:rsidP="00314783">
      <w:pPr>
        <w:pStyle w:val="Body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  <w:lang w:val="en-US"/>
        </w:rPr>
      </w:pPr>
      <w:r w:rsidRPr="00314783">
        <w:rPr>
          <w:rFonts w:ascii="Arial" w:hAnsi="Arial" w:cs="Arial"/>
          <w:b/>
          <w:color w:val="6A3C5E"/>
          <w:sz w:val="20"/>
          <w:szCs w:val="20"/>
          <w:u w:color="0096FF"/>
          <w:lang w:val="en-US"/>
        </w:rPr>
        <w:t>Advice and information needs to be accessible and inclusive.</w:t>
      </w:r>
      <w:r w:rsidRPr="00314783">
        <w:rPr>
          <w:rFonts w:ascii="Arial" w:hAnsi="Arial" w:cs="Arial"/>
          <w:color w:val="6A3C5E"/>
          <w:sz w:val="20"/>
          <w:szCs w:val="20"/>
          <w:u w:color="0096FF"/>
          <w:lang w:val="en-US"/>
        </w:rPr>
        <w:t xml:space="preserve"> </w:t>
      </w:r>
      <w:r w:rsidRPr="00314783">
        <w:rPr>
          <w:rFonts w:ascii="Arial" w:hAnsi="Arial" w:cs="Arial"/>
          <w:sz w:val="20"/>
          <w:szCs w:val="20"/>
          <w:u w:color="0096FF"/>
          <w:lang w:val="en-US"/>
        </w:rPr>
        <w:t xml:space="preserve">Ensure </w:t>
      </w:r>
      <w:r w:rsidR="004C4855" w:rsidRPr="00314783">
        <w:rPr>
          <w:rFonts w:ascii="Arial" w:hAnsi="Arial" w:cs="Arial"/>
          <w:sz w:val="20"/>
          <w:szCs w:val="20"/>
          <w:u w:color="0096FF"/>
          <w:lang w:val="en-US"/>
        </w:rPr>
        <w:t xml:space="preserve">the </w:t>
      </w:r>
      <w:r w:rsidRPr="00314783">
        <w:rPr>
          <w:rFonts w:ascii="Arial" w:hAnsi="Arial" w:cs="Arial"/>
          <w:sz w:val="20"/>
          <w:szCs w:val="20"/>
          <w:u w:color="0096FF"/>
          <w:lang w:val="en-US"/>
        </w:rPr>
        <w:t>team has access to up to date and accurate information regarding</w:t>
      </w:r>
      <w:r w:rsidR="00227A33" w:rsidRPr="00314783">
        <w:rPr>
          <w:rFonts w:ascii="Arial" w:hAnsi="Arial" w:cs="Arial"/>
          <w:sz w:val="20"/>
          <w:szCs w:val="20"/>
          <w:u w:color="0096FF"/>
          <w:lang w:val="en-US"/>
        </w:rPr>
        <w:t>: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local housing support options; </w:t>
      </w:r>
      <w:r w:rsidR="004C4855" w:rsidRPr="00314783">
        <w:rPr>
          <w:rFonts w:ascii="Arial" w:hAnsi="Arial" w:cs="Arial"/>
          <w:sz w:val="20"/>
          <w:szCs w:val="20"/>
          <w:lang w:val="en-US"/>
        </w:rPr>
        <w:t xml:space="preserve">how to </w:t>
      </w:r>
      <w:r w:rsidRPr="00314783">
        <w:rPr>
          <w:rFonts w:ascii="Arial" w:hAnsi="Arial" w:cs="Arial"/>
          <w:sz w:val="20"/>
          <w:szCs w:val="20"/>
          <w:lang w:val="en-US"/>
        </w:rPr>
        <w:t>access them; eligibility for DFGs</w:t>
      </w:r>
      <w:r w:rsidR="004C4855" w:rsidRPr="00314783">
        <w:rPr>
          <w:rFonts w:ascii="Arial" w:hAnsi="Arial" w:cs="Arial"/>
          <w:sz w:val="20"/>
          <w:szCs w:val="20"/>
          <w:lang w:val="en-US"/>
        </w:rPr>
        <w:t>; and</w:t>
      </w:r>
      <w:r w:rsidRPr="00314783">
        <w:rPr>
          <w:rFonts w:ascii="Arial" w:hAnsi="Arial" w:cs="Arial"/>
          <w:sz w:val="20"/>
          <w:szCs w:val="20"/>
          <w:lang w:val="en-US"/>
        </w:rPr>
        <w:t xml:space="preserve"> changes in benefits associated with</w:t>
      </w:r>
      <w:r w:rsidR="00314783">
        <w:rPr>
          <w:rFonts w:ascii="Arial" w:hAnsi="Arial" w:cs="Arial"/>
          <w:sz w:val="20"/>
          <w:szCs w:val="20"/>
          <w:lang w:val="en-US"/>
        </w:rPr>
        <w:t xml:space="preserve"> </w:t>
      </w:r>
      <w:r w:rsidR="003D71CA" w:rsidRPr="00314783">
        <w:rPr>
          <w:rFonts w:ascii="Arial" w:hAnsi="Arial" w:cs="Arial"/>
          <w:sz w:val="20"/>
          <w:szCs w:val="20"/>
          <w:lang w:val="en-US"/>
        </w:rPr>
        <w:t>H</w:t>
      </w:r>
      <w:r w:rsidRPr="00314783">
        <w:rPr>
          <w:rFonts w:ascii="Arial" w:hAnsi="Arial" w:cs="Arial"/>
          <w:sz w:val="20"/>
          <w:szCs w:val="20"/>
          <w:lang w:val="en-US"/>
        </w:rPr>
        <w:t>ousing</w:t>
      </w:r>
      <w:r w:rsidR="003D71CA" w:rsidRPr="00314783">
        <w:rPr>
          <w:rFonts w:ascii="Arial" w:hAnsi="Arial" w:cs="Arial"/>
          <w:sz w:val="20"/>
          <w:szCs w:val="20"/>
          <w:lang w:val="en-US"/>
        </w:rPr>
        <w:t>.</w:t>
      </w:r>
    </w:p>
    <w:sectPr w:rsidR="00DD5507" w:rsidRPr="00314783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B6937" w14:textId="77777777" w:rsidR="00722B23" w:rsidRDefault="00722B23">
      <w:r>
        <w:separator/>
      </w:r>
    </w:p>
  </w:endnote>
  <w:endnote w:type="continuationSeparator" w:id="0">
    <w:p w14:paraId="209ACE68" w14:textId="77777777" w:rsidR="00722B23" w:rsidRDefault="0072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F0F2" w14:textId="42ADE170" w:rsidR="003D71CA" w:rsidRDefault="003D71C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3AE6D17" wp14:editId="759BD84E">
          <wp:simplePos x="0" y="0"/>
          <wp:positionH relativeFrom="column">
            <wp:posOffset>5369560</wp:posOffset>
          </wp:positionH>
          <wp:positionV relativeFrom="paragraph">
            <wp:posOffset>219710</wp:posOffset>
          </wp:positionV>
          <wp:extent cx="1609725" cy="643890"/>
          <wp:effectExtent l="0" t="0" r="9525" b="3810"/>
          <wp:wrapTight wrapText="bothSides">
            <wp:wrapPolygon edited="0">
              <wp:start x="0" y="0"/>
              <wp:lineTo x="0" y="21089"/>
              <wp:lineTo x="21472" y="21089"/>
              <wp:lineTo x="21472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N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9D0A2" w14:textId="77777777" w:rsidR="00722B23" w:rsidRDefault="00722B23">
      <w:r>
        <w:separator/>
      </w:r>
    </w:p>
  </w:footnote>
  <w:footnote w:type="continuationSeparator" w:id="0">
    <w:p w14:paraId="1EAB8F6B" w14:textId="77777777" w:rsidR="00722B23" w:rsidRDefault="0072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A922D" w14:textId="2AEE7D6E" w:rsidR="003D71CA" w:rsidRPr="00C51F9C" w:rsidRDefault="00314783" w:rsidP="003D71CA">
    <w:pPr>
      <w:pStyle w:val="Header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882749630"/>
        <w:docPartObj>
          <w:docPartGallery w:val="Page Numbers (Margins)"/>
          <w:docPartUnique/>
        </w:docPartObj>
      </w:sdtPr>
      <w:sdtEndPr/>
      <w:sdtContent>
        <w:r w:rsidR="003D71CA" w:rsidRPr="003D71CA">
          <w:rPr>
            <w:rFonts w:ascii="Arial" w:hAnsi="Arial" w:cs="Arial"/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674411A" wp14:editId="74F24BB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F9CDA" w14:textId="77777777" w:rsidR="003D71CA" w:rsidRPr="003D71CA" w:rsidRDefault="003D71CA">
                              <w:pPr>
                                <w:pStyle w:val="Footer"/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</w:pPr>
                              <w:r w:rsidRPr="003D71CA">
                                <w:rPr>
                                  <w:rFonts w:ascii="Arial" w:eastAsiaTheme="majorEastAsia" w:hAnsi="Arial" w:cs="Arial"/>
                                  <w:sz w:val="16"/>
                                  <w:szCs w:val="16"/>
                                </w:rPr>
                                <w:t>Page</w:t>
                              </w:r>
                              <w:r w:rsidRPr="003D71CA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D71C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3D71CA">
                                <w:rPr>
                                  <w:rFonts w:ascii="Arial" w:eastAsiaTheme="minorEastAsia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314783" w:rsidRPr="00314783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D71CA">
                                <w:rPr>
                                  <w:rFonts w:ascii="Arial" w:eastAsiaTheme="majorEastAsia" w:hAnsi="Arial" w:cs="Arial"/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5A7F9CDA" w14:textId="77777777" w:rsidR="003D71CA" w:rsidRPr="003D71CA" w:rsidRDefault="003D71CA">
                        <w:pPr>
                          <w:pStyle w:val="Footer"/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</w:pPr>
                        <w:r w:rsidRPr="003D71CA">
                          <w:rPr>
                            <w:rFonts w:ascii="Arial" w:eastAsiaTheme="majorEastAsia" w:hAnsi="Arial" w:cs="Arial"/>
                            <w:sz w:val="16"/>
                            <w:szCs w:val="16"/>
                          </w:rPr>
                          <w:t>Page</w:t>
                        </w:r>
                        <w:r w:rsidRPr="003D71CA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3D71C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3D71CA">
                          <w:rPr>
                            <w:rFonts w:ascii="Arial" w:eastAsiaTheme="minorEastAsia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314783" w:rsidRPr="00314783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3D71CA">
                          <w:rPr>
                            <w:rFonts w:ascii="Arial" w:eastAsiaTheme="majorEastAsia" w:hAnsi="Arial" w:cs="Arial"/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D71CA">
      <w:rPr>
        <w:rFonts w:ascii="Arial" w:hAnsi="Arial" w:cs="Arial"/>
        <w:sz w:val="16"/>
        <w:szCs w:val="16"/>
      </w:rPr>
      <w:t>Beyond the Front Door: Top Tips for Hospital Discharge Teams</w:t>
    </w:r>
  </w:p>
  <w:p w14:paraId="6A48B429" w14:textId="77777777" w:rsidR="00DD5507" w:rsidRDefault="00DD550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128E"/>
    <w:multiLevelType w:val="hybridMultilevel"/>
    <w:tmpl w:val="21AE7B98"/>
    <w:numStyleLink w:val="Bullet"/>
  </w:abstractNum>
  <w:abstractNum w:abstractNumId="1">
    <w:nsid w:val="3DCF7653"/>
    <w:multiLevelType w:val="hybridMultilevel"/>
    <w:tmpl w:val="21AE7B98"/>
    <w:styleLink w:val="Bullet"/>
    <w:lvl w:ilvl="0" w:tplc="F844E79E">
      <w:start w:val="1"/>
      <w:numFmt w:val="bullet"/>
      <w:lvlText w:val="•"/>
      <w:lvlJc w:val="left"/>
      <w:pPr>
        <w:ind w:left="229" w:hanging="229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D2FA06">
      <w:start w:val="1"/>
      <w:numFmt w:val="bullet"/>
      <w:lvlText w:val="•"/>
      <w:lvlJc w:val="left"/>
      <w:pPr>
        <w:ind w:left="409" w:hanging="229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864DFC">
      <w:start w:val="1"/>
      <w:numFmt w:val="bullet"/>
      <w:lvlText w:val="•"/>
      <w:lvlJc w:val="left"/>
      <w:pPr>
        <w:ind w:left="589" w:hanging="229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70D124">
      <w:start w:val="1"/>
      <w:numFmt w:val="bullet"/>
      <w:lvlText w:val="•"/>
      <w:lvlJc w:val="left"/>
      <w:pPr>
        <w:ind w:left="769" w:hanging="229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0AE56">
      <w:start w:val="1"/>
      <w:numFmt w:val="bullet"/>
      <w:lvlText w:val="•"/>
      <w:lvlJc w:val="left"/>
      <w:pPr>
        <w:ind w:left="949" w:hanging="229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F66D62">
      <w:start w:val="1"/>
      <w:numFmt w:val="bullet"/>
      <w:lvlText w:val="•"/>
      <w:lvlJc w:val="left"/>
      <w:pPr>
        <w:ind w:left="1129" w:hanging="229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2CD4F4">
      <w:start w:val="1"/>
      <w:numFmt w:val="bullet"/>
      <w:lvlText w:val="•"/>
      <w:lvlJc w:val="left"/>
      <w:pPr>
        <w:ind w:left="1309" w:hanging="229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5F8">
      <w:start w:val="1"/>
      <w:numFmt w:val="bullet"/>
      <w:lvlText w:val="•"/>
      <w:lvlJc w:val="left"/>
      <w:pPr>
        <w:ind w:left="1489" w:hanging="229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D8C58A">
      <w:start w:val="1"/>
      <w:numFmt w:val="bullet"/>
      <w:lvlText w:val="•"/>
      <w:lvlJc w:val="left"/>
      <w:pPr>
        <w:ind w:left="1669" w:hanging="229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7"/>
    <w:rsid w:val="000E46AD"/>
    <w:rsid w:val="00227A33"/>
    <w:rsid w:val="00314783"/>
    <w:rsid w:val="003D71CA"/>
    <w:rsid w:val="004668C2"/>
    <w:rsid w:val="004C4855"/>
    <w:rsid w:val="005F4233"/>
    <w:rsid w:val="00722B23"/>
    <w:rsid w:val="00817472"/>
    <w:rsid w:val="00856520"/>
    <w:rsid w:val="009E5E9A"/>
    <w:rsid w:val="009E7C56"/>
    <w:rsid w:val="00C23485"/>
    <w:rsid w:val="00DD5507"/>
    <w:rsid w:val="00E243C1"/>
    <w:rsid w:val="00EC0EF0"/>
    <w:rsid w:val="00F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2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1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D7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7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C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71CA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D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71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3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D71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1C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D71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1C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71CA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D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Christina Berry Moorcroft</cp:lastModifiedBy>
  <cp:revision>4</cp:revision>
  <dcterms:created xsi:type="dcterms:W3CDTF">2018-04-10T10:26:00Z</dcterms:created>
  <dcterms:modified xsi:type="dcterms:W3CDTF">2018-06-11T10:27:00Z</dcterms:modified>
</cp:coreProperties>
</file>