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F53B" w14:textId="77777777" w:rsidR="005F6178" w:rsidRPr="00880BB4" w:rsidRDefault="005F6178" w:rsidP="005E7849">
      <w:pPr>
        <w:spacing w:after="60" w:line="276" w:lineRule="auto"/>
        <w:rPr>
          <w:rFonts w:asciiTheme="majorHAnsi" w:eastAsia="Franklin Gothic Book" w:hAnsiTheme="majorHAnsi" w:cstheme="majorHAnsi"/>
          <w:b/>
          <w:bCs/>
          <w:sz w:val="22"/>
          <w:szCs w:val="22"/>
          <w:lang w:val="en-US"/>
        </w:rPr>
      </w:pPr>
      <w:r w:rsidRPr="00880BB4">
        <w:rPr>
          <w:rFonts w:asciiTheme="majorHAnsi" w:eastAsia="Franklin Gothic Book" w:hAnsiTheme="majorHAnsi" w:cstheme="majorHAnsi"/>
          <w:b/>
          <w:bCs/>
          <w:sz w:val="22"/>
          <w:szCs w:val="22"/>
          <w:lang w:val="en-US"/>
        </w:rPr>
        <w:t>To: Crispin Blunt MP</w:t>
      </w:r>
    </w:p>
    <w:p w14:paraId="3DDCD963" w14:textId="5A9F0932" w:rsidR="005F6178" w:rsidRPr="00A61A0F" w:rsidRDefault="005F6178" w:rsidP="005E784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Chair, APPG for CDB Products, Westminster</w:t>
      </w:r>
      <w:r w:rsidR="00F84BB9">
        <w:rPr>
          <w:rFonts w:asciiTheme="majorHAnsi" w:eastAsia="Franklin Gothic Book" w:hAnsiTheme="majorHAnsi" w:cstheme="majorHAnsi"/>
          <w:sz w:val="22"/>
          <w:szCs w:val="22"/>
          <w:lang w:val="en-US"/>
        </w:rPr>
        <w:t xml:space="preserve"> - </w:t>
      </w:r>
      <w:hyperlink r:id="rId6" w:history="1">
        <w:r w:rsidR="00880BB4" w:rsidRPr="00456C7C">
          <w:rPr>
            <w:rStyle w:val="Hyperlink"/>
            <w:rFonts w:asciiTheme="majorHAnsi" w:eastAsia="Franklin Gothic Book" w:hAnsiTheme="majorHAnsi" w:cstheme="majorHAnsi"/>
            <w:sz w:val="22"/>
            <w:szCs w:val="22"/>
            <w:lang w:val="en-US"/>
          </w:rPr>
          <w:t>crispinbluntmp@parliament.uk</w:t>
        </w:r>
      </w:hyperlink>
      <w:r w:rsidR="00880BB4">
        <w:rPr>
          <w:rFonts w:asciiTheme="majorHAnsi" w:eastAsia="Franklin Gothic Book" w:hAnsiTheme="majorHAnsi" w:cstheme="majorHAnsi"/>
          <w:sz w:val="22"/>
          <w:szCs w:val="22"/>
          <w:lang w:val="en-US"/>
        </w:rPr>
        <w:t xml:space="preserve"> </w:t>
      </w:r>
    </w:p>
    <w:p w14:paraId="5C8C75AB" w14:textId="77777777" w:rsidR="005F6178" w:rsidRPr="00A61A0F" w:rsidRDefault="005F6178" w:rsidP="005E7849">
      <w:pPr>
        <w:spacing w:after="60" w:line="276" w:lineRule="auto"/>
        <w:rPr>
          <w:rFonts w:asciiTheme="majorHAnsi" w:eastAsia="Franklin Gothic Book" w:hAnsiTheme="majorHAnsi" w:cstheme="majorHAnsi"/>
          <w:sz w:val="22"/>
          <w:szCs w:val="22"/>
          <w:lang w:val="en-US"/>
        </w:rPr>
      </w:pPr>
    </w:p>
    <w:p w14:paraId="138AFEA2" w14:textId="302999A5" w:rsidR="005F6178" w:rsidRPr="00A61A0F" w:rsidRDefault="005F6178" w:rsidP="005E784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Dear Crispin,</w:t>
      </w:r>
    </w:p>
    <w:p w14:paraId="46F828DB" w14:textId="784362E6" w:rsidR="00A61A0F" w:rsidRPr="00A61A0F" w:rsidRDefault="00A61A0F" w:rsidP="005E784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Re: </w:t>
      </w:r>
      <w:r w:rsidRPr="00A61A0F">
        <w:rPr>
          <w:rFonts w:asciiTheme="majorHAnsi" w:eastAsia="Times New Roman" w:hAnsiTheme="majorHAnsi" w:cstheme="majorHAnsi"/>
          <w:b/>
          <w:bCs/>
          <w:sz w:val="22"/>
          <w:szCs w:val="22"/>
        </w:rPr>
        <w:t>Consequences of the ACMD Consumer Cannabidiol (CBD) Products Report</w:t>
      </w:r>
    </w:p>
    <w:p w14:paraId="430C83D4" w14:textId="77777777" w:rsidR="00A61A0F" w:rsidRDefault="00A61A0F" w:rsidP="00A61A0F">
      <w:pPr>
        <w:spacing w:after="60" w:line="276" w:lineRule="auto"/>
        <w:ind w:firstLine="284"/>
        <w:jc w:val="both"/>
        <w:rPr>
          <w:rFonts w:asciiTheme="majorHAnsi" w:eastAsia="Franklin Gothic Book" w:hAnsiTheme="majorHAnsi" w:cstheme="majorHAnsi"/>
          <w:sz w:val="22"/>
          <w:szCs w:val="22"/>
          <w:lang w:val="en-US"/>
        </w:rPr>
      </w:pPr>
    </w:p>
    <w:p w14:paraId="56575AB3" w14:textId="145745D6"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As </w:t>
      </w:r>
      <w:r w:rsidR="004B5160">
        <w:rPr>
          <w:rFonts w:asciiTheme="majorHAnsi" w:eastAsia="Franklin Gothic Book" w:hAnsiTheme="majorHAnsi" w:cstheme="majorHAnsi"/>
          <w:sz w:val="22"/>
          <w:szCs w:val="22"/>
          <w:lang w:val="en-US"/>
        </w:rPr>
        <w:t>a business</w:t>
      </w:r>
      <w:r w:rsidRPr="00A61A0F">
        <w:rPr>
          <w:rFonts w:asciiTheme="majorHAnsi" w:eastAsia="Franklin Gothic Book" w:hAnsiTheme="majorHAnsi" w:cstheme="majorHAnsi"/>
          <w:sz w:val="22"/>
          <w:szCs w:val="22"/>
          <w:lang w:val="en-US"/>
        </w:rPr>
        <w:t xml:space="preserve"> </w:t>
      </w:r>
      <w:r w:rsidR="000D35D4">
        <w:rPr>
          <w:rFonts w:asciiTheme="majorHAnsi" w:eastAsia="Franklin Gothic Book" w:hAnsiTheme="majorHAnsi" w:cstheme="majorHAnsi"/>
          <w:sz w:val="22"/>
          <w:szCs w:val="22"/>
          <w:lang w:val="en-US"/>
        </w:rPr>
        <w:t>within</w:t>
      </w:r>
      <w:r w:rsidRPr="00A61A0F">
        <w:rPr>
          <w:rFonts w:asciiTheme="majorHAnsi" w:eastAsia="Franklin Gothic Book" w:hAnsiTheme="majorHAnsi" w:cstheme="majorHAnsi"/>
          <w:sz w:val="22"/>
          <w:szCs w:val="22"/>
          <w:lang w:val="en-US"/>
        </w:rPr>
        <w:t xml:space="preserve"> the </w:t>
      </w:r>
      <w:r w:rsidR="000D35D4">
        <w:rPr>
          <w:rFonts w:asciiTheme="majorHAnsi" w:eastAsia="Franklin Gothic Book" w:hAnsiTheme="majorHAnsi" w:cstheme="majorHAnsi"/>
          <w:sz w:val="22"/>
          <w:szCs w:val="22"/>
          <w:lang w:val="en-US"/>
        </w:rPr>
        <w:t xml:space="preserve">UK </w:t>
      </w:r>
      <w:r w:rsidR="00C351D8">
        <w:rPr>
          <w:rFonts w:asciiTheme="majorHAnsi" w:eastAsia="Franklin Gothic Book" w:hAnsiTheme="majorHAnsi" w:cstheme="majorHAnsi"/>
          <w:sz w:val="22"/>
          <w:szCs w:val="22"/>
          <w:lang w:val="en-US"/>
        </w:rPr>
        <w:t>cann</w:t>
      </w:r>
      <w:r w:rsidR="004B5160">
        <w:rPr>
          <w:rFonts w:asciiTheme="majorHAnsi" w:eastAsia="Franklin Gothic Book" w:hAnsiTheme="majorHAnsi" w:cstheme="majorHAnsi"/>
          <w:sz w:val="22"/>
          <w:szCs w:val="22"/>
          <w:lang w:val="en-US"/>
        </w:rPr>
        <w:t>abis industry</w:t>
      </w:r>
      <w:r w:rsidRPr="00A61A0F">
        <w:rPr>
          <w:rFonts w:asciiTheme="majorHAnsi" w:eastAsia="Franklin Gothic Book" w:hAnsiTheme="majorHAnsi" w:cstheme="majorHAnsi"/>
          <w:sz w:val="22"/>
          <w:szCs w:val="22"/>
          <w:lang w:val="en-US"/>
        </w:rPr>
        <w:t xml:space="preserve">, we were very interested to </w:t>
      </w:r>
      <w:r w:rsidR="005E7849" w:rsidRPr="00A61A0F">
        <w:rPr>
          <w:rFonts w:asciiTheme="majorHAnsi" w:eastAsia="Franklin Gothic Book" w:hAnsiTheme="majorHAnsi" w:cstheme="majorHAnsi"/>
          <w:sz w:val="22"/>
          <w:szCs w:val="22"/>
          <w:lang w:val="en-US"/>
        </w:rPr>
        <w:t>be informed</w:t>
      </w:r>
      <w:r w:rsidRPr="00A61A0F">
        <w:rPr>
          <w:rFonts w:asciiTheme="majorHAnsi" w:eastAsia="Franklin Gothic Book" w:hAnsiTheme="majorHAnsi" w:cstheme="majorHAnsi"/>
          <w:sz w:val="22"/>
          <w:szCs w:val="22"/>
          <w:lang w:val="en-US"/>
        </w:rPr>
        <w:t xml:space="preserve"> about the </w:t>
      </w:r>
      <w:r w:rsidRPr="00A61A0F">
        <w:rPr>
          <w:rFonts w:asciiTheme="majorHAnsi" w:eastAsia="Franklin Gothic Book" w:hAnsiTheme="majorHAnsi" w:cstheme="majorHAnsi"/>
          <w:sz w:val="22"/>
          <w:szCs w:val="22"/>
          <w:lang w:val="en-US"/>
        </w:rPr>
        <w:t>latest meeting regarding the recent ACMD Report. We welcome this report and the recommendations it makes regarding dosage levels of Delta 9 THC in CBD products in the UK.</w:t>
      </w:r>
    </w:p>
    <w:p w14:paraId="703F7AAA" w14:textId="62A9455D"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We are writing to you in context of what looks like an unintended consequence of that report: the commercial implications that would put UK outside international consensus due to an outlier uncertainty factor of 20. This factor dwarfs the uncertainty factors of other restricted substances such as caffeine (0), alcohol (0), nicotine (4.4) and even opium alkaloids including Codeine (5)*. It reduces T</w:t>
      </w:r>
      <w:r w:rsidR="00571382" w:rsidRPr="00A61A0F">
        <w:rPr>
          <w:rFonts w:asciiTheme="majorHAnsi" w:eastAsia="Franklin Gothic Book" w:hAnsiTheme="majorHAnsi" w:cstheme="majorHAnsi"/>
          <w:sz w:val="22"/>
          <w:szCs w:val="22"/>
          <w:lang w:val="en-US"/>
        </w:rPr>
        <w:t>HC</w:t>
      </w:r>
      <w:r w:rsidRPr="00A61A0F">
        <w:rPr>
          <w:rFonts w:asciiTheme="majorHAnsi" w:eastAsia="Franklin Gothic Book" w:hAnsiTheme="majorHAnsi" w:cstheme="majorHAnsi"/>
          <w:sz w:val="22"/>
          <w:szCs w:val="22"/>
          <w:lang w:val="en-US"/>
        </w:rPr>
        <w:t xml:space="preserve"> levels in CBD products (an important element of efficacy through the entourage effect) to an unnecessary 20 times less than the lowest dose unlikely to produce any significant psychoactive effect of 1mg/day**. </w:t>
      </w:r>
    </w:p>
    <w:p w14:paraId="4E51AC57"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We urge you to do all that is in your power to ensure that the piece of work to be produced by the APPG, that will seek to establish a clear understanding of the normal range for representative countries such as Germany, Canada, Australia and the USA, as agreed by parliamentarians at the last meeting, is considered by the Minister and Home Office officials ahead of any decision in this nascent field. And that, on behalf of the whole industry, the minister delays his decision until he hears from the APPG later this month.</w:t>
      </w:r>
    </w:p>
    <w:p w14:paraId="2E4D64B1"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If one considers that the UK CBD industry is expected to have generated £690m in annual sales for 2021*** and assume for a moment it will grow to reach the equivalent of Scotch Whisky, with its 2020 exports of £3.8billion****, the above request seems like a small ask. Even more so when one considers the impact on rural jobs, innovation and scientific research the damage to such an industry would have.</w:t>
      </w:r>
    </w:p>
    <w:p w14:paraId="6A1CA108"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Of course, our associations and members stand by, ready to help. We will continue to attend APPG meetings and participate as a member of the Secretariat Advisory Board to the APPG. We would like to thank you for your tenacity within this space; it is a pleasure to see this important matter being driven forward with such energy.</w:t>
      </w:r>
    </w:p>
    <w:p w14:paraId="675A9BBA" w14:textId="77777777" w:rsidR="005F6178" w:rsidRPr="00A61A0F" w:rsidRDefault="005F6178" w:rsidP="005E7849">
      <w:pPr>
        <w:spacing w:after="60" w:line="276" w:lineRule="auto"/>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Yours sincerely, </w:t>
      </w:r>
    </w:p>
    <w:p w14:paraId="1A151706" w14:textId="5C4A939B" w:rsidR="005F6178" w:rsidRPr="00A61A0F" w:rsidRDefault="005F6178" w:rsidP="005E7849">
      <w:pPr>
        <w:spacing w:after="120" w:line="276" w:lineRule="auto"/>
        <w:rPr>
          <w:rFonts w:asciiTheme="majorHAnsi" w:eastAsia="Franklin Gothic Book" w:hAnsiTheme="majorHAnsi" w:cstheme="majorHAnsi"/>
          <w:sz w:val="22"/>
          <w:szCs w:val="22"/>
          <w:lang w:val="en-US"/>
        </w:rPr>
      </w:pPr>
    </w:p>
    <w:p w14:paraId="2A8754FF" w14:textId="48FB546A"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&lt;YOUR NAME &amp; COMPANY&gt;</w:t>
      </w:r>
    </w:p>
    <w:p w14:paraId="24D48531"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p>
    <w:p w14:paraId="54EE76B7" w14:textId="0E868CD7" w:rsidR="00571382" w:rsidRPr="00A61A0F" w:rsidRDefault="00571382" w:rsidP="005E7849">
      <w:pPr>
        <w:spacing w:after="120" w:line="276" w:lineRule="auto"/>
        <w:rPr>
          <w:rFonts w:asciiTheme="majorHAnsi" w:eastAsia="Franklin Gothic Book" w:hAnsiTheme="majorHAnsi" w:cstheme="majorHAnsi"/>
          <w:b/>
          <w:bCs/>
          <w:sz w:val="22"/>
          <w:szCs w:val="22"/>
          <w:lang w:val="en-US"/>
        </w:rPr>
      </w:pPr>
      <w:r w:rsidRPr="00A61A0F">
        <w:rPr>
          <w:rFonts w:asciiTheme="majorHAnsi" w:eastAsia="Franklin Gothic Book" w:hAnsiTheme="majorHAnsi" w:cstheme="majorHAnsi"/>
          <w:b/>
          <w:bCs/>
          <w:sz w:val="22"/>
          <w:szCs w:val="22"/>
          <w:lang w:val="en-US"/>
        </w:rPr>
        <w:t xml:space="preserve">cc. </w:t>
      </w:r>
      <w:r w:rsidRPr="00A61A0F">
        <w:rPr>
          <w:rFonts w:asciiTheme="majorHAnsi" w:eastAsia="Franklin Gothic Book" w:hAnsiTheme="majorHAnsi" w:cstheme="majorHAnsi"/>
          <w:b/>
          <w:bCs/>
          <w:sz w:val="22"/>
          <w:szCs w:val="22"/>
          <w:lang w:val="en-US"/>
        </w:rPr>
        <w:tab/>
      </w:r>
      <w:r w:rsidR="005E7849" w:rsidRPr="00A61A0F">
        <w:rPr>
          <w:rFonts w:asciiTheme="majorHAnsi" w:eastAsia="Franklin Gothic Book" w:hAnsiTheme="majorHAnsi" w:cstheme="majorHAnsi"/>
          <w:b/>
          <w:bCs/>
          <w:sz w:val="22"/>
          <w:szCs w:val="22"/>
          <w:lang w:val="en-US"/>
        </w:rPr>
        <w:t>&lt;YOUR MP&gt;</w:t>
      </w:r>
    </w:p>
    <w:p w14:paraId="7B44D0F7" w14:textId="37BC60EC" w:rsidR="005F6178" w:rsidRPr="00A61A0F" w:rsidRDefault="00571382" w:rsidP="005E7849">
      <w:pPr>
        <w:spacing w:after="120" w:line="276" w:lineRule="auto"/>
        <w:rPr>
          <w:rFonts w:asciiTheme="majorHAnsi" w:eastAsia="Franklin Gothic Book" w:hAnsiTheme="majorHAnsi" w:cstheme="majorHAnsi"/>
          <w:b/>
          <w:bCs/>
          <w:sz w:val="22"/>
          <w:szCs w:val="22"/>
          <w:lang w:val="en-US"/>
        </w:rPr>
      </w:pPr>
      <w:r w:rsidRPr="00A61A0F">
        <w:rPr>
          <w:rFonts w:asciiTheme="majorHAnsi" w:eastAsia="Franklin Gothic Book" w:hAnsiTheme="majorHAnsi" w:cstheme="majorHAnsi"/>
          <w:b/>
          <w:bCs/>
          <w:sz w:val="22"/>
          <w:szCs w:val="22"/>
          <w:lang w:val="en-US"/>
        </w:rPr>
        <w:tab/>
        <w:t xml:space="preserve">Andy Cutbill - Communications Director - </w:t>
      </w:r>
      <w:hyperlink r:id="rId7" w:history="1">
        <w:r w:rsidR="00F84BB9" w:rsidRPr="00456C7C">
          <w:rPr>
            <w:rStyle w:val="Hyperlink"/>
            <w:rFonts w:asciiTheme="majorHAnsi" w:eastAsia="Franklin Gothic Book" w:hAnsiTheme="majorHAnsi" w:cstheme="majorHAnsi"/>
            <w:b/>
            <w:bCs/>
            <w:sz w:val="22"/>
            <w:szCs w:val="22"/>
            <w:lang w:val="en-US"/>
          </w:rPr>
          <w:t>appg</w:t>
        </w:r>
        <w:r w:rsidR="00F84BB9" w:rsidRPr="00456C7C">
          <w:rPr>
            <w:rStyle w:val="Hyperlink"/>
            <w:rFonts w:asciiTheme="majorHAnsi" w:eastAsia="Franklin Gothic Book" w:hAnsiTheme="majorHAnsi" w:cstheme="majorHAnsi"/>
            <w:b/>
            <w:bCs/>
            <w:sz w:val="22"/>
            <w:szCs w:val="22"/>
            <w:lang w:val="en-US"/>
          </w:rPr>
          <w:t>@tenacious-labs.com</w:t>
        </w:r>
      </w:hyperlink>
    </w:p>
    <w:p w14:paraId="1A11889F" w14:textId="14DB1128"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 European Industrial Hemp Association (EIHA ) paper - Limit and guideline values for THC (tetrahydrocannabinol) in hemp foods </w:t>
      </w:r>
      <w:hyperlink r:id="rId8" w:history="1">
        <w:r w:rsidRPr="00A61A0F">
          <w:rPr>
            <w:rStyle w:val="Hyperlink"/>
            <w:rFonts w:asciiTheme="majorHAnsi" w:eastAsia="Franklin Gothic Book" w:hAnsiTheme="majorHAnsi" w:cstheme="majorHAnsi"/>
            <w:sz w:val="22"/>
            <w:szCs w:val="22"/>
            <w:lang w:val="en-US"/>
          </w:rPr>
          <w:t>https://eiha.org/media/2019/06/19-06-18_Limit-and-guideline-values-for-THC-in-hemp-foods.pdf</w:t>
        </w:r>
      </w:hyperlink>
    </w:p>
    <w:p w14:paraId="2DB2FD07"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lastRenderedPageBreak/>
        <w:t xml:space="preserve">** ACMD Consumer Cannabidiol (CBD) Products Report </w:t>
      </w:r>
      <w:hyperlink r:id="rId9" w:history="1">
        <w:r w:rsidRPr="00A61A0F">
          <w:rPr>
            <w:rStyle w:val="Hyperlink"/>
            <w:rFonts w:asciiTheme="majorHAnsi" w:eastAsia="Franklin Gothic Book" w:hAnsiTheme="majorHAnsi" w:cstheme="majorHAnsi"/>
            <w:sz w:val="22"/>
            <w:szCs w:val="22"/>
            <w:lang w:val="en-US"/>
          </w:rPr>
          <w:t>https://www.gov.uk/government/publications/acmd-advice-on-consumer-cannabidiol-cbd-products/consumer-cannabidiol-cbd-products-report-accessible-version</w:t>
        </w:r>
      </w:hyperlink>
    </w:p>
    <w:p w14:paraId="46A1B109"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 ACI &amp; CMC report - Green Shoots: Sowing the seeds of the new UK cannabinoid market </w:t>
      </w:r>
      <w:hyperlink r:id="rId10" w:history="1">
        <w:r w:rsidRPr="00A61A0F">
          <w:rPr>
            <w:rStyle w:val="Hyperlink"/>
            <w:rFonts w:asciiTheme="majorHAnsi" w:eastAsia="Franklin Gothic Book" w:hAnsiTheme="majorHAnsi" w:cstheme="majorHAnsi"/>
            <w:sz w:val="22"/>
            <w:szCs w:val="22"/>
            <w:lang w:val="en-US"/>
          </w:rPr>
          <w:t>https://theaci.co.uk/wp-content/uploads/2021/05/Green-shoots-Sowing-the-seeds-of-the-new-UK-cannabis-market-ACI-_-CMC-report.pdf</w:t>
        </w:r>
      </w:hyperlink>
    </w:p>
    <w:p w14:paraId="106A42A2" w14:textId="441188A7" w:rsidR="00EC11D3" w:rsidRPr="00A61A0F" w:rsidRDefault="005F6178" w:rsidP="005E7849">
      <w:pPr>
        <w:spacing w:line="276" w:lineRule="auto"/>
        <w:rPr>
          <w:rFonts w:asciiTheme="majorHAnsi" w:hAnsiTheme="majorHAnsi" w:cstheme="majorHAnsi"/>
          <w:sz w:val="22"/>
          <w:szCs w:val="22"/>
        </w:rPr>
      </w:pPr>
      <w:r w:rsidRPr="00A61A0F">
        <w:rPr>
          <w:rFonts w:asciiTheme="majorHAnsi" w:eastAsia="Franklin Gothic Book" w:hAnsiTheme="majorHAnsi" w:cstheme="majorHAnsi"/>
          <w:sz w:val="22"/>
          <w:szCs w:val="22"/>
          <w:lang w:val="en-US"/>
        </w:rPr>
        <w:t xml:space="preserve">****Scotch Whisky Association </w:t>
      </w:r>
      <w:hyperlink r:id="rId11" w:history="1">
        <w:r w:rsidRPr="00A61A0F">
          <w:rPr>
            <w:rStyle w:val="Hyperlink"/>
            <w:rFonts w:asciiTheme="majorHAnsi" w:eastAsia="Franklin Gothic Book" w:hAnsiTheme="majorHAnsi" w:cstheme="majorHAnsi"/>
            <w:sz w:val="22"/>
            <w:szCs w:val="22"/>
            <w:lang w:val="en-US"/>
          </w:rPr>
          <w:t>https://www.scotch-whisky.org.uk/insights/facts-figures/</w:t>
        </w:r>
      </w:hyperlink>
    </w:p>
    <w:sectPr w:rsidR="00EC11D3" w:rsidRPr="00A61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7894" w14:textId="77777777" w:rsidR="00A61A0F" w:rsidRDefault="00A61A0F" w:rsidP="00A61A0F">
      <w:pPr>
        <w:spacing w:after="0"/>
      </w:pPr>
      <w:r>
        <w:separator/>
      </w:r>
    </w:p>
  </w:endnote>
  <w:endnote w:type="continuationSeparator" w:id="0">
    <w:p w14:paraId="5A296CDF" w14:textId="77777777" w:rsidR="00A61A0F" w:rsidRDefault="00A61A0F" w:rsidP="00A61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51B" w14:textId="77777777" w:rsidR="00A61A0F" w:rsidRDefault="00A61A0F" w:rsidP="00A61A0F">
      <w:pPr>
        <w:spacing w:after="0"/>
      </w:pPr>
      <w:r>
        <w:separator/>
      </w:r>
    </w:p>
  </w:footnote>
  <w:footnote w:type="continuationSeparator" w:id="0">
    <w:p w14:paraId="2F17447F" w14:textId="77777777" w:rsidR="00A61A0F" w:rsidRDefault="00A61A0F" w:rsidP="00A61A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78"/>
    <w:rsid w:val="000D35D4"/>
    <w:rsid w:val="00277518"/>
    <w:rsid w:val="004B5160"/>
    <w:rsid w:val="00571382"/>
    <w:rsid w:val="005E7849"/>
    <w:rsid w:val="005F2812"/>
    <w:rsid w:val="005F6178"/>
    <w:rsid w:val="0080323D"/>
    <w:rsid w:val="00880BB4"/>
    <w:rsid w:val="00A3302A"/>
    <w:rsid w:val="00A61A0F"/>
    <w:rsid w:val="00B20C56"/>
    <w:rsid w:val="00C351D8"/>
    <w:rsid w:val="00DB38A3"/>
    <w:rsid w:val="00E309C5"/>
    <w:rsid w:val="00F8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1DD6"/>
  <w15:chartTrackingRefBased/>
  <w15:docId w15:val="{9EDCC237-2498-4E45-914D-11A988B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78"/>
    <w:pPr>
      <w:spacing w:after="240" w:line="240" w:lineRule="auto"/>
    </w:pPr>
    <w:rPr>
      <w:rFonts w:ascii="Franklin Gothic Book" w:eastAsiaTheme="minorEastAsia"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78"/>
    <w:rPr>
      <w:color w:val="0563C1" w:themeColor="hyperlink"/>
      <w:u w:val="single"/>
    </w:rPr>
  </w:style>
  <w:style w:type="character" w:styleId="UnresolvedMention">
    <w:name w:val="Unresolved Mention"/>
    <w:basedOn w:val="DefaultParagraphFont"/>
    <w:uiPriority w:val="99"/>
    <w:semiHidden/>
    <w:unhideWhenUsed/>
    <w:rsid w:val="00571382"/>
    <w:rPr>
      <w:color w:val="605E5C"/>
      <w:shd w:val="clear" w:color="auto" w:fill="E1DFDD"/>
    </w:rPr>
  </w:style>
  <w:style w:type="paragraph" w:styleId="Header">
    <w:name w:val="header"/>
    <w:basedOn w:val="Normal"/>
    <w:link w:val="HeaderChar"/>
    <w:uiPriority w:val="99"/>
    <w:unhideWhenUsed/>
    <w:rsid w:val="00A61A0F"/>
    <w:pPr>
      <w:tabs>
        <w:tab w:val="center" w:pos="4513"/>
        <w:tab w:val="right" w:pos="9026"/>
      </w:tabs>
      <w:spacing w:after="0"/>
    </w:pPr>
  </w:style>
  <w:style w:type="character" w:customStyle="1" w:styleId="HeaderChar">
    <w:name w:val="Header Char"/>
    <w:basedOn w:val="DefaultParagraphFont"/>
    <w:link w:val="Header"/>
    <w:uiPriority w:val="99"/>
    <w:rsid w:val="00A61A0F"/>
    <w:rPr>
      <w:rFonts w:ascii="Franklin Gothic Book" w:eastAsiaTheme="minorEastAsia" w:hAnsi="Franklin Gothic Book"/>
      <w:sz w:val="24"/>
      <w:szCs w:val="24"/>
    </w:rPr>
  </w:style>
  <w:style w:type="paragraph" w:styleId="Footer">
    <w:name w:val="footer"/>
    <w:basedOn w:val="Normal"/>
    <w:link w:val="FooterChar"/>
    <w:uiPriority w:val="99"/>
    <w:unhideWhenUsed/>
    <w:rsid w:val="00A61A0F"/>
    <w:pPr>
      <w:tabs>
        <w:tab w:val="center" w:pos="4513"/>
        <w:tab w:val="right" w:pos="9026"/>
      </w:tabs>
      <w:spacing w:after="0"/>
    </w:pPr>
  </w:style>
  <w:style w:type="character" w:customStyle="1" w:styleId="FooterChar">
    <w:name w:val="Footer Char"/>
    <w:basedOn w:val="DefaultParagraphFont"/>
    <w:link w:val="Footer"/>
    <w:uiPriority w:val="99"/>
    <w:rsid w:val="00A61A0F"/>
    <w:rPr>
      <w:rFonts w:ascii="Franklin Gothic Book" w:eastAsiaTheme="minorEastAsia"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ha.org/media/2019/06/19-06-18_Limit-and-guideline-values-for-THC-in-hemp-food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ppg@tenacious-lab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pinbluntmp@parliament.uk" TargetMode="External"/><Relationship Id="rId11" Type="http://schemas.openxmlformats.org/officeDocument/2006/relationships/hyperlink" Target="https://www.scotch-whisky.org.uk/insights/facts-figures/" TargetMode="External"/><Relationship Id="rId5" Type="http://schemas.openxmlformats.org/officeDocument/2006/relationships/endnotes" Target="endnotes.xml"/><Relationship Id="rId10" Type="http://schemas.openxmlformats.org/officeDocument/2006/relationships/hyperlink" Target="https://theaci.co.uk/wp-content/uploads/2021/05/Green-shoots-Sowing-the-seeds-of-the-new-UK-cannabis-market-ACI-_-CMC-report.pdf" TargetMode="External"/><Relationship Id="rId4" Type="http://schemas.openxmlformats.org/officeDocument/2006/relationships/footnotes" Target="footnotes.xml"/><Relationship Id="rId9" Type="http://schemas.openxmlformats.org/officeDocument/2006/relationships/hyperlink" Target="https://www.gov.uk/government/publications/acmd-advice-on-consumer-cannabidiol-cbd-products/consumer-cannabidiol-cbd-products-report-accessible-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541</Words>
  <Characters>3229</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Phillips</dc:creator>
  <cp:keywords/>
  <dc:description/>
  <cp:lastModifiedBy>Siân Phillips</cp:lastModifiedBy>
  <cp:revision>10</cp:revision>
  <dcterms:created xsi:type="dcterms:W3CDTF">2022-02-02T17:23:00Z</dcterms:created>
  <dcterms:modified xsi:type="dcterms:W3CDTF">2022-02-02T18:02:00Z</dcterms:modified>
</cp:coreProperties>
</file>